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583d8k.htm"/>
      <w:bookmarkStart w:id="1" w:name="ksd4058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October 31, </w:t>
      </w:r>
    </w:p>
    <w:p>
      <w:pPr>
        <w:pStyle w:val="TextBody"/>
        <w:bidi w:val="0"/>
        <w:spacing w:before="240" w:after="0"/>
        <w:jc w:val="center"/>
        <w:rPr>
          <w:rFonts w:ascii="Times New Roman" w:hAnsi="Times New Roman"/>
          <w:b/>
          <w:sz w:val="24"/>
        </w:rPr>
      </w:pPr>
      <w:r>
        <w:rPr>
          <w:rFonts w:ascii="Times New Roman" w:hAnsi="Times New Roman"/>
          <w:b/>
          <w:sz w:val="24"/>
        </w:rPr>
        <w:t>2025</w:t>
      </w:r>
    </w:p>
    <w:p>
      <w:pPr>
        <w:pStyle w:val="TextBody"/>
        <w:bidi w:val="0"/>
        <w:spacing w:before="0" w:after="0"/>
        <w:jc w:val="left"/>
        <w:rPr/>
      </w:pPr>
      <w:r>
        <w:rPr/>
        <w:t> </w:t>
      </w:r>
    </w:p>
    <w:tbl>
      <w:tblPr>
        <w:tblW w:w="7775" w:type="dxa"/>
        <w:jc w:val="left"/>
        <w:tblInd w:w="0" w:type="dxa"/>
        <w:tblLayout w:type="fixed"/>
        <w:tblCellMar>
          <w:top w:w="0" w:type="dxa"/>
          <w:left w:w="0" w:type="dxa"/>
          <w:bottom w:w="0" w:type="dxa"/>
          <w:right w:w="0" w:type="dxa"/>
        </w:tblCellMar>
      </w:tblPr>
      <w:tblGrid>
        <w:gridCol w:w="1070"/>
        <w:gridCol w:w="120"/>
        <w:gridCol w:w="3980"/>
        <w:gridCol w:w="120"/>
        <w:gridCol w:w="1055"/>
        <w:gridCol w:w="120"/>
        <w:gridCol w:w="1310"/>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bdr w:val="single" w:sz="8" w:space="1" w:color="000000"/>
              </w:rPr>
            </w:pPr>
            <w:r>
              <w:rPr>
                <w:rFonts w:ascii="Times New Roman" w:hAnsi="Times New Roman"/>
                <w:b/>
                <w:sz w:val="16"/>
                <w:bdr w:val="single" w:sz="8" w:space="1" w:color="000000"/>
              </w:rPr>
              <w:t>File Number</w:t>
            </w:r>
          </w:p>
        </w:tc>
        <w:tc>
          <w:tcPr>
            <w:tcW w:w="120" w:type="dxa"/>
            <w:tcBorders/>
            <w:vAlign w:val="center"/>
          </w:tcPr>
          <w:p>
            <w:pPr>
              <w:pStyle w:val="TableContents"/>
              <w:bidi w:val="0"/>
              <w:spacing w:before="0" w:after="283"/>
              <w:jc w:val="left"/>
              <w:rPr/>
            </w:pPr>
            <w:r>
              <w:rPr/>
              <w:t>  </w:t>
            </w:r>
          </w:p>
        </w:tc>
        <w:tc>
          <w:tcPr>
            <w:tcW w:w="39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Exact name of registrant as specified in its charter and</w:t>
            </w:r>
          </w:p>
          <w:p>
            <w:pPr>
              <w:pStyle w:val="TableContents"/>
              <w:bidi w:val="0"/>
              <w:spacing w:before="0" w:after="20"/>
              <w:jc w:val="center"/>
              <w:rPr>
                <w:rFonts w:ascii="Times New Roman" w:hAnsi="Times New Roman"/>
                <w:b/>
                <w:sz w:val="16"/>
              </w:rPr>
            </w:pPr>
            <w:r>
              <w:rPr>
                <w:rFonts w:ascii="Times New Roman" w:hAnsi="Times New Roman"/>
                <w:b/>
                <w:sz w:val="16"/>
              </w:rPr>
              <w:t>principal office address and telephone number</w:t>
            </w:r>
          </w:p>
        </w:tc>
        <w:tc>
          <w:tcPr>
            <w:tcW w:w="12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of</w:t>
            </w:r>
          </w:p>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12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1070" w:type="dxa"/>
            <w:tcBorders/>
            <w:vAlign w:val="center"/>
          </w:tcPr>
          <w:p>
            <w:pPr>
              <w:pStyle w:val="TableContents"/>
              <w:bidi w:val="0"/>
              <w:spacing w:before="0" w:after="0"/>
              <w:jc w:val="center"/>
              <w:rPr>
                <w:b/>
                <w:spacing w:val="0"/>
              </w:rPr>
            </w:pPr>
            <w:r>
              <w:rPr>
                <w:b/>
                <w:spacing w:val="0"/>
              </w:rPr>
              <w:t>001-37976</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spacing w:val="0"/>
              </w:rPr>
            </w:pPr>
            <w:r>
              <w:rPr>
                <w:b/>
                <w:spacing w:val="0"/>
              </w:rPr>
              <w:t>Southwest Gas Holdings, Inc.</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Delaware</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b/>
                <w:spacing w:val="0"/>
              </w:rPr>
            </w:pPr>
            <w:r>
              <w:rPr>
                <w:b/>
                <w:spacing w:val="0"/>
              </w:rPr>
              <w:t>81-3881866</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spacing w:val="0"/>
              </w:rPr>
            </w:pPr>
            <w:r>
              <w:rPr>
                <w:b/>
                <w:spacing w:val="0"/>
              </w:rPr>
              <w:t>8360 S. Durango Dr.</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spacing w:val="0"/>
              </w:rPr>
            </w:pPr>
            <w:r>
              <w:rPr>
                <w:b/>
                <w:spacing w:val="0"/>
              </w:rPr>
              <w:t>Las Vegas, Nevada 89113</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rPr>
            </w:pPr>
            <w:r>
              <w:rPr>
                <w:b/>
              </w:rPr>
              <w:t xml:space="preserve">(702) </w:t>
            </w:r>
          </w:p>
          <w:p>
            <w:pPr>
              <w:pStyle w:val="TableContents"/>
              <w:bidi w:val="0"/>
              <w:spacing w:before="0" w:after="0"/>
              <w:jc w:val="center"/>
              <w:rPr>
                <w:b/>
              </w:rPr>
            </w:pPr>
            <w:r>
              <w:rPr>
                <w:b/>
              </w:rPr>
              <w:t>876-7237</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center"/>
              <w:rPr>
                <w:b/>
                <w:spacing w:val="0"/>
              </w:rPr>
            </w:pPr>
            <w:r>
              <w:rPr>
                <w:b/>
                <w:spacing w:val="0"/>
              </w:rPr>
              <w:t>001-7850</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spacing w:val="0"/>
              </w:rPr>
            </w:pPr>
            <w:r>
              <w:rPr>
                <w:b/>
                <w:spacing w:val="0"/>
              </w:rPr>
              <w:t>Southwest Gas Corporation</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California</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b/>
                <w:spacing w:val="0"/>
              </w:rPr>
            </w:pPr>
            <w:r>
              <w:rPr>
                <w:b/>
                <w:spacing w:val="0"/>
              </w:rPr>
              <w:t>88-0085720</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spacing w:val="0"/>
              </w:rPr>
            </w:pPr>
            <w:r>
              <w:rPr>
                <w:b/>
                <w:spacing w:val="0"/>
              </w:rPr>
              <w:t>8360 S. Durango Dr.</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spacing w:val="0"/>
              </w:rPr>
            </w:pPr>
            <w:r>
              <w:rPr>
                <w:b/>
                <w:spacing w:val="0"/>
              </w:rPr>
              <w:t>Las Vegas, Nevada 89113</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spacing w:val="0"/>
              </w:rPr>
            </w:pPr>
            <w:r>
              <w:rPr>
                <w:b/>
                <w:spacing w:val="0"/>
              </w:rPr>
              <w:t xml:space="preserve">(702) </w:t>
            </w:r>
          </w:p>
          <w:p>
            <w:pPr>
              <w:pStyle w:val="TableContents"/>
              <w:bidi w:val="0"/>
              <w:spacing w:before="0" w:after="0"/>
              <w:jc w:val="center"/>
              <w:rPr>
                <w:b/>
                <w:spacing w:val="0"/>
              </w:rPr>
            </w:pPr>
            <w:r>
              <w:rPr>
                <w:b/>
                <w:spacing w:val="0"/>
              </w:rPr>
              <w:t>876-7237</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b/>
          <w:sz w:val="20"/>
        </w:rPr>
      </w:pPr>
      <w:r>
        <w:rPr>
          <w:rFonts w:ascii="Times New Roman" w:hAnsi="Times New Roman"/>
          <w:b/>
          <w:sz w:val="20"/>
        </w:rPr>
        <w:t xml:space="preserve">Check the appropriate box below if the Form </w:t>
      </w:r>
    </w:p>
    <w:p>
      <w:pPr>
        <w:pStyle w:val="TextBody"/>
        <w:bidi w:val="0"/>
        <w:spacing w:before="200" w:after="0"/>
        <w:jc w:val="left"/>
        <w:rPr>
          <w:rFonts w:ascii="Times New Roman" w:hAnsi="Times New Roman"/>
          <w:b/>
          <w:spacing w:val="0"/>
          <w:sz w:val="20"/>
        </w:rPr>
      </w:pPr>
      <w:r>
        <w:rPr>
          <w:rFonts w:ascii="Times New Roman" w:hAnsi="Times New Roman"/>
          <w:b/>
          <w:spacing w:val="0"/>
          <w:sz w:val="20"/>
        </w:rPr>
        <w:t>8-K</w:t>
      </w:r>
    </w:p>
    <w:p>
      <w:pPr>
        <w:pStyle w:val="TextBody"/>
        <w:bidi w:val="0"/>
        <w:spacing w:before="200" w:after="0"/>
        <w:jc w:val="left"/>
        <w:rPr>
          <w:rFonts w:ascii="Times New Roman" w:hAnsi="Times New Roman"/>
          <w:b/>
          <w:sz w:val="20"/>
        </w:rPr>
      </w:pPr>
      <w:r>
        <w:rPr>
          <w:rFonts w:ascii="Times New Roman" w:hAnsi="Times New Roman"/>
          <w:b/>
          <w:sz w:val="20"/>
        </w:rPr>
        <w:t>filing is intended to simultaneously satisfy the filing ob</w:t>
      </w:r>
    </w:p>
    <w:p>
      <w:pPr>
        <w:pStyle w:val="TextBody"/>
        <w:bidi w:val="0"/>
        <w:spacing w:before="200" w:after="0"/>
        <w:jc w:val="left"/>
        <w:rPr>
          <w:rFonts w:ascii="Times New Roman" w:hAnsi="Times New Roman"/>
          <w:b/>
          <w:sz w:val="20"/>
        </w:rPr>
      </w:pPr>
      <w:r>
        <w:rPr>
          <w:rFonts w:ascii="Times New Roman" w:hAnsi="Times New Roman"/>
          <w:b/>
          <w:sz w:val="20"/>
        </w:rPr>
        <w:t>lig</w:t>
      </w:r>
    </w:p>
    <w:p>
      <w:pPr>
        <w:pStyle w:val="TextBody"/>
        <w:bidi w:val="0"/>
        <w:spacing w:before="200" w:after="0"/>
        <w:jc w:val="left"/>
        <w:rPr>
          <w:rFonts w:ascii="Times New Roman" w:hAnsi="Times New Roman"/>
          <w:b/>
          <w:sz w:val="20"/>
        </w:rPr>
      </w:pPr>
      <w:r>
        <w:rPr>
          <w:rFonts w:ascii="Times New Roman" w:hAnsi="Times New Roman"/>
          <w:b/>
          <w:sz w:val="20"/>
        </w:rPr>
        <w:t>ation of the r</w:t>
      </w:r>
    </w:p>
    <w:p>
      <w:pPr>
        <w:pStyle w:val="TextBody"/>
        <w:bidi w:val="0"/>
        <w:spacing w:before="200" w:after="0"/>
        <w:jc w:val="left"/>
        <w:rPr>
          <w:rFonts w:ascii="Times New Roman" w:hAnsi="Times New Roman"/>
          <w:b/>
          <w:sz w:val="20"/>
        </w:rPr>
      </w:pPr>
      <w:r>
        <w:rPr>
          <w:rFonts w:ascii="Times New Roman" w:hAnsi="Times New Roman"/>
          <w:b/>
          <w:sz w:val="20"/>
        </w:rPr>
        <w:t>egis</w:t>
      </w:r>
    </w:p>
    <w:p>
      <w:pPr>
        <w:pStyle w:val="TextBody"/>
        <w:bidi w:val="0"/>
        <w:spacing w:before="200" w:after="0"/>
        <w:jc w:val="left"/>
        <w:rPr>
          <w:rFonts w:ascii="Times New Roman" w:hAnsi="Times New Roman"/>
          <w:b/>
          <w:sz w:val="20"/>
        </w:rPr>
      </w:pPr>
      <w:r>
        <w:rPr>
          <w:rFonts w:ascii="Times New Roman" w:hAnsi="Times New Roman"/>
          <w:b/>
          <w:sz w:val="20"/>
        </w:rPr>
        <w:t xml:space="preserve">trant under any of the following provisions: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245"/>
        <w:gridCol w:w="7550"/>
      </w:tblGrid>
      <w:tr>
        <w:trPr/>
        <w:tc>
          <w:tcPr>
            <w:tcW w:w="245"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Written communications pursuant to Rule 425 under the Securities Act (17 CFR 230.425)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245"/>
        <w:gridCol w:w="3110"/>
      </w:tblGrid>
      <w:tr>
        <w:trPr/>
        <w:tc>
          <w:tcPr>
            <w:tcW w:w="245"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Soliciting material pursuant to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14a-12</w:t>
            </w:r>
          </w:p>
          <w:p>
            <w:pPr>
              <w:pStyle w:val="TableContents"/>
              <w:bidi w:val="0"/>
              <w:spacing w:before="0" w:after="0"/>
              <w:jc w:val="left"/>
              <w:rPr>
                <w:rFonts w:ascii="Times New Roman" w:hAnsi="Times New Roman"/>
                <w:b/>
                <w:sz w:val="20"/>
              </w:rPr>
            </w:pPr>
            <w:r>
              <w:rPr>
                <w:rFonts w:ascii="Times New Roman" w:hAnsi="Times New Roman"/>
                <w:b/>
                <w:sz w:val="20"/>
              </w:rPr>
              <w:t xml:space="preserve">under the Exchange Act (17 CFR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240.14a-12)</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245"/>
        <w:gridCol w:w="2915"/>
      </w:tblGrid>
      <w:tr>
        <w:trPr/>
        <w:tc>
          <w:tcPr>
            <w:tcW w:w="245"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Pre-commencement</w:t>
            </w:r>
          </w:p>
          <w:p>
            <w:pPr>
              <w:pStyle w:val="TableContents"/>
              <w:bidi w:val="0"/>
              <w:spacing w:before="0" w:after="0"/>
              <w:jc w:val="left"/>
              <w:rPr>
                <w:rFonts w:ascii="Times New Roman" w:hAnsi="Times New Roman"/>
                <w:b/>
                <w:sz w:val="20"/>
              </w:rPr>
            </w:pPr>
            <w:r>
              <w:rPr>
                <w:rFonts w:ascii="Times New Roman" w:hAnsi="Times New Roman"/>
                <w:b/>
                <w:sz w:val="20"/>
              </w:rPr>
              <w:t xml:space="preserve">communications pursuant to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14d-2(b)</w:t>
            </w:r>
          </w:p>
          <w:p>
            <w:pPr>
              <w:pStyle w:val="TableContents"/>
              <w:bidi w:val="0"/>
              <w:spacing w:before="0" w:after="0"/>
              <w:jc w:val="left"/>
              <w:rPr>
                <w:rFonts w:ascii="Times New Roman" w:hAnsi="Times New Roman"/>
                <w:b/>
                <w:sz w:val="20"/>
              </w:rPr>
            </w:pPr>
            <w:r>
              <w:rPr>
                <w:rFonts w:ascii="Times New Roman" w:hAnsi="Times New Roman"/>
                <w:b/>
                <w:sz w:val="20"/>
              </w:rPr>
              <w:t xml:space="preserve">under the Exchange Act (17 CFR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240.14d-2(b))</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245"/>
        <w:gridCol w:w="2915"/>
      </w:tblGrid>
      <w:tr>
        <w:trPr/>
        <w:tc>
          <w:tcPr>
            <w:tcW w:w="245"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Pre-commencement</w:t>
            </w:r>
          </w:p>
          <w:p>
            <w:pPr>
              <w:pStyle w:val="TableContents"/>
              <w:bidi w:val="0"/>
              <w:spacing w:before="0" w:after="0"/>
              <w:jc w:val="left"/>
              <w:rPr>
                <w:rFonts w:ascii="Times New Roman" w:hAnsi="Times New Roman"/>
                <w:b/>
                <w:sz w:val="20"/>
              </w:rPr>
            </w:pPr>
            <w:r>
              <w:rPr>
                <w:rFonts w:ascii="Times New Roman" w:hAnsi="Times New Roman"/>
                <w:b/>
                <w:sz w:val="20"/>
              </w:rPr>
              <w:t xml:space="preserve">communications pursuant to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13e-4(c)</w:t>
            </w:r>
          </w:p>
          <w:p>
            <w:pPr>
              <w:pStyle w:val="TableContents"/>
              <w:bidi w:val="0"/>
              <w:spacing w:before="0" w:after="0"/>
              <w:jc w:val="left"/>
              <w:rPr>
                <w:rFonts w:ascii="Times New Roman" w:hAnsi="Times New Roman"/>
                <w:b/>
                <w:sz w:val="20"/>
              </w:rPr>
            </w:pPr>
            <w:r>
              <w:rPr>
                <w:rFonts w:ascii="Times New Roman" w:hAnsi="Times New Roman"/>
                <w:b/>
                <w:sz w:val="20"/>
              </w:rPr>
              <w:t xml:space="preserve">under the Exchange Act (17 CFR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240.13e-4(c))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24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Southwest Gas Holdings, Inc.: </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780"/>
        <w:gridCol w:w="60"/>
        <w:gridCol w:w="605"/>
        <w:gridCol w:w="60"/>
        <w:gridCol w:w="2660"/>
      </w:tblGrid>
      <w:tr>
        <w:trPr/>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780" w:type="dxa"/>
            <w:tcBorders/>
            <w:vAlign w:val="center"/>
          </w:tcPr>
          <w:p>
            <w:pPr>
              <w:pStyle w:val="TableContents"/>
              <w:bidi w:val="0"/>
              <w:spacing w:before="0" w:after="283"/>
              <w:jc w:val="center"/>
              <w:rPr/>
            </w:pPr>
            <w:r>
              <w:rPr/>
              <w:t>Southwest Gas Holdings, Inc. Common Stock, $1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SWX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9165" w:type="dxa"/>
            <w:gridSpan w:val="5"/>
            <w:tcBorders/>
            <w:vAlign w:val="center"/>
          </w:tcPr>
          <w:p>
            <w:pPr>
              <w:pStyle w:val="TableContents"/>
              <w:bidi w:val="0"/>
              <w:spacing w:before="0" w:after="0"/>
              <w:jc w:val="center"/>
              <w:rPr>
                <w:b/>
                <w:spacing w:val="0"/>
              </w:rPr>
            </w:pPr>
            <w:r>
              <w:rPr>
                <w:b/>
                <w:spacing w:val="0"/>
              </w:rPr>
              <w:t>Southwest Gas Corporation:</w:t>
            </w:r>
          </w:p>
        </w:tc>
      </w:tr>
      <w:tr>
        <w:trPr/>
        <w:tc>
          <w:tcPr>
            <w:tcW w:w="9165" w:type="dxa"/>
            <w:gridSpan w:val="5"/>
            <w:tcBorders/>
            <w:vAlign w:val="center"/>
          </w:tcPr>
          <w:p>
            <w:pPr>
              <w:pStyle w:val="TableContents"/>
              <w:bidi w:val="0"/>
              <w:spacing w:before="0" w:after="283"/>
              <w:jc w:val="center"/>
              <w:rPr/>
            </w:pPr>
            <w:r>
              <w:rPr/>
              <w:t>None.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w:t>
      </w:r>
    </w:p>
    <w:p>
      <w:pPr>
        <w:pStyle w:val="TextBody"/>
        <w:bidi w:val="0"/>
        <w:spacing w:before="240" w:after="0"/>
        <w:jc w:val="left"/>
        <w:rPr>
          <w:rFonts w:ascii="Times New Roman" w:hAnsi="Times New Roman"/>
          <w:sz w:val="20"/>
        </w:rPr>
      </w:pPr>
      <w:r>
        <w:rPr>
          <w:rFonts w:ascii="Times New Roman" w:hAnsi="Times New Roman"/>
          <w:sz w:val="20"/>
        </w:rPr>
        <w:t>ny</w:t>
      </w:r>
    </w:p>
    <w:p>
      <w:pPr>
        <w:pStyle w:val="TextBody"/>
        <w:bidi w:val="0"/>
        <w:spacing w:before="240" w:after="0"/>
        <w:jc w:val="left"/>
        <w:rPr>
          <w:rFonts w:ascii="Times New Roman" w:hAnsi="Times New Roman"/>
          <w:sz w:val="20"/>
        </w:rPr>
      </w:pPr>
      <w:r>
        <w:rPr>
          <w:rFonts w:ascii="Times New Roman" w:hAnsi="Times New Roman"/>
          <w:sz w:val="20"/>
        </w:rPr>
        <w:t xml:space="preserve">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0"/>
              <w:jc w:val="left"/>
              <w:rPr>
                <w:b/>
                <w:spacing w:val="0"/>
              </w:rPr>
            </w:pPr>
            <w:r>
              <w:rPr>
                <w:b/>
                <w:spacing w:val="0"/>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On November 5, 2025, Southwest Gas Holdings, Inc. (the “Company”) announced that Robert J. Stefani, the Senior Vice President/Chief Financial Officer of the Company and Southwest Gas Corporation (“Southwest Gas,” and together with the Company, the “Companies”) and the Companies agreed that Mr. Stefani will no longer serve as Senior Vice President/Chief Financial Officer of the Companies, effective December 1, 2025 or such earlier date that Mr. Stefani’s employment ends (the last day of Mr. Stefani’s employment, the “Separation Date”). Mr. Stefani will be pursuing new opportunities upon his departure, and Mr. Stefani’s departure is not a result of any disagreement with the Companies’ independent auditors or any member of management on any matter of accounting principles or practices, financial statement disclosure, or internal controls. The Companies thank Mr. Stefani for his significant contributions during a transformational period as the Company separated from Centuri Holdings, Inc. and became a fully regulated natural gas utility business. The board of directors of the Company has initiated an internal and external search process to identify Mr. Stefani’s successor.</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the Companies and Mr. Stefani entered into a Transition, Separation and General Release Agreement (the “Separation Agreement”), effective November 8, 2025 (the “Effective Date”), pursuant to which he will continue to serve in his current capacity until the Separation Date. Under the Separation Agreement, Mr. Stefani will receive cash payments in the aggregate amount of $1,568,400 and the vesting of Mr. Stefani’s performance-based restricted stock units will be prorated through December 1, 2025. The payments to be made to Mr. Stefani under the Separation Agreement are otherwise consistent with those that would have been due under his previously disclosed employment agreement if the Separation Date occurred prior to November 21, 2025. </w:t>
      </w:r>
    </w:p>
    <w:p>
      <w:pPr>
        <w:pStyle w:val="TextBody"/>
        <w:bidi w:val="0"/>
        <w:spacing w:before="240" w:after="0"/>
        <w:jc w:val="left"/>
        <w:rPr>
          <w:rFonts w:ascii="Times New Roman" w:hAnsi="Times New Roman"/>
          <w:sz w:val="20"/>
        </w:rPr>
      </w:pPr>
      <w:r>
        <w:rPr>
          <w:rFonts w:ascii="Times New Roman" w:hAnsi="Times New Roman"/>
          <w:sz w:val="20"/>
        </w:rPr>
        <w:t xml:space="preserve">Mr. Stefani’s consideration payable pursuant to the Separation Agreement (the “Separation Consideration”) is conditioned upon his (i) signing and not revoking the Certificate of Reaffirmation of the Separation Agreement (the “Certificate”), (ii) complying with the Separation Agreement and the Certificate at all times, and (iii) continued service with the Companies in good standing through the Separation Date, provided, however, that if the Company terminates Mr. Stefani’s employment before the Separation Date for any reason other than for Cause (as defined in that certain Change in Control Agreement by and between the Company and Employee, effective as of October 31, 2022), then Mr. Stefani shall still be entitled to all of the Separation Consideration.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92"/>
        <w:gridCol w:w="60"/>
        <w:gridCol w:w="23"/>
        <w:gridCol w:w="60"/>
        <w:gridCol w:w="23"/>
        <w:gridCol w:w="60"/>
        <w:gridCol w:w="8187"/>
      </w:tblGrid>
      <w:tr>
        <w:trPr/>
        <w:tc>
          <w:tcPr>
            <w:tcW w:w="1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87" w:type="dxa"/>
            <w:tcBorders/>
            <w:vAlign w:val="center"/>
          </w:tcPr>
          <w:p>
            <w:pPr>
              <w:pStyle w:val="TableContents"/>
              <w:bidi w:val="0"/>
              <w:spacing w:before="0" w:after="283"/>
              <w:jc w:val="left"/>
              <w:rPr>
                <w:sz w:val="4"/>
                <w:szCs w:val="4"/>
              </w:rPr>
            </w:pPr>
            <w:r>
              <w:rPr>
                <w:sz w:val="4"/>
                <w:szCs w:val="4"/>
              </w:rPr>
            </w:r>
          </w:p>
        </w:tc>
      </w:tr>
      <w:tr>
        <w:trPr/>
        <w:tc>
          <w:tcPr>
            <w:tcW w:w="1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87" w:type="dxa"/>
            <w:tcBorders/>
            <w:vAlign w:val="center"/>
          </w:tcPr>
          <w:p>
            <w:pPr>
              <w:pStyle w:val="TableContents"/>
              <w:bidi w:val="0"/>
              <w:spacing w:before="0" w:after="283"/>
              <w:jc w:val="left"/>
              <w:rPr/>
            </w:pPr>
            <w:r>
              <w:rPr/>
              <w:t>SOUTHWEST GAS HOLDINGS, INC.</w:t>
            </w:r>
          </w:p>
        </w:tc>
      </w:tr>
      <w:tr>
        <w:trPr/>
        <w:tc>
          <w:tcPr>
            <w:tcW w:w="1792"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247" w:type="dxa"/>
            <w:gridSpan w:val="2"/>
            <w:tcBorders/>
            <w:vAlign w:val="center"/>
          </w:tcPr>
          <w:p>
            <w:pPr>
              <w:pStyle w:val="TableContents"/>
              <w:bidi w:val="0"/>
              <w:spacing w:before="0" w:after="283"/>
              <w:jc w:val="left"/>
              <w:rPr>
                <w:sz w:val="4"/>
                <w:szCs w:val="4"/>
              </w:rPr>
            </w:pPr>
            <w:r>
              <w:rPr>
                <w:sz w:val="4"/>
                <w:szCs w:val="4"/>
              </w:rPr>
            </w:r>
          </w:p>
        </w:tc>
      </w:tr>
      <w:tr>
        <w:trPr/>
        <w:tc>
          <w:tcPr>
            <w:tcW w:w="1792" w:type="dxa"/>
            <w:tcBorders/>
            <w:vAlign w:val="center"/>
          </w:tcPr>
          <w:p>
            <w:pPr>
              <w:pStyle w:val="TableContents"/>
              <w:bidi w:val="0"/>
              <w:spacing w:before="0" w:after="283"/>
              <w:jc w:val="left"/>
              <w:rPr/>
            </w:pPr>
            <w:r>
              <w:rPr/>
              <w:t>November 5,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87"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Catherine M. Mazzeo</w:t>
            </w:r>
          </w:p>
        </w:tc>
      </w:tr>
      <w:tr>
        <w:trPr/>
        <w:tc>
          <w:tcPr>
            <w:tcW w:w="1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87" w:type="dxa"/>
            <w:tcBorders/>
            <w:vAlign w:val="center"/>
          </w:tcPr>
          <w:p>
            <w:pPr>
              <w:pStyle w:val="TableContents"/>
              <w:bidi w:val="0"/>
              <w:spacing w:before="0" w:after="283"/>
              <w:jc w:val="left"/>
              <w:rPr/>
            </w:pPr>
            <w:r>
              <w:rPr/>
              <w:t>Catherine M. Mazzeo</w:t>
            </w:r>
          </w:p>
        </w:tc>
      </w:tr>
      <w:tr>
        <w:trPr/>
        <w:tc>
          <w:tcPr>
            <w:tcW w:w="1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87" w:type="dxa"/>
            <w:tcBorders/>
            <w:vAlign w:val="center"/>
          </w:tcPr>
          <w:p>
            <w:pPr>
              <w:pStyle w:val="TableContents"/>
              <w:bidi w:val="0"/>
              <w:spacing w:before="0" w:after="283"/>
              <w:jc w:val="left"/>
              <w:rPr/>
            </w:pPr>
            <w:r>
              <w:rPr/>
              <w:t>Senior Vice President/Chief Legal, Safety &amp; Compliance Officer and Corporate Secretary</w:t>
            </w:r>
          </w:p>
        </w:tc>
      </w:tr>
      <w:tr>
        <w:trPr/>
        <w:tc>
          <w:tcPr>
            <w:tcW w:w="1792"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247" w:type="dxa"/>
            <w:gridSpan w:val="2"/>
            <w:tcBorders/>
            <w:vAlign w:val="center"/>
          </w:tcPr>
          <w:p>
            <w:pPr>
              <w:pStyle w:val="TableContents"/>
              <w:bidi w:val="0"/>
              <w:spacing w:before="0" w:after="283"/>
              <w:jc w:val="left"/>
              <w:rPr>
                <w:sz w:val="4"/>
                <w:szCs w:val="4"/>
              </w:rPr>
            </w:pPr>
            <w:r>
              <w:rPr>
                <w:sz w:val="4"/>
                <w:szCs w:val="4"/>
              </w:rPr>
            </w:r>
          </w:p>
        </w:tc>
      </w:tr>
      <w:tr>
        <w:trPr/>
        <w:tc>
          <w:tcPr>
            <w:tcW w:w="1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87" w:type="dxa"/>
            <w:tcBorders/>
            <w:vAlign w:val="center"/>
          </w:tcPr>
          <w:p>
            <w:pPr>
              <w:pStyle w:val="TableContents"/>
              <w:bidi w:val="0"/>
              <w:spacing w:before="0" w:after="283"/>
              <w:jc w:val="left"/>
              <w:rPr/>
            </w:pPr>
            <w:r>
              <w:rPr/>
              <w:t>SOUTHWEST GAS CORPORATION</w:t>
            </w:r>
          </w:p>
        </w:tc>
      </w:tr>
      <w:tr>
        <w:trPr/>
        <w:tc>
          <w:tcPr>
            <w:tcW w:w="1792"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247" w:type="dxa"/>
            <w:gridSpan w:val="2"/>
            <w:tcBorders/>
            <w:vAlign w:val="center"/>
          </w:tcPr>
          <w:p>
            <w:pPr>
              <w:pStyle w:val="TableContents"/>
              <w:bidi w:val="0"/>
              <w:spacing w:before="0" w:after="283"/>
              <w:jc w:val="left"/>
              <w:rPr>
                <w:sz w:val="4"/>
                <w:szCs w:val="4"/>
              </w:rPr>
            </w:pPr>
            <w:r>
              <w:rPr>
                <w:sz w:val="4"/>
                <w:szCs w:val="4"/>
              </w:rPr>
            </w:r>
          </w:p>
        </w:tc>
      </w:tr>
      <w:tr>
        <w:trPr/>
        <w:tc>
          <w:tcPr>
            <w:tcW w:w="1792" w:type="dxa"/>
            <w:tcBorders/>
            <w:vAlign w:val="center"/>
          </w:tcPr>
          <w:p>
            <w:pPr>
              <w:pStyle w:val="TableContents"/>
              <w:bidi w:val="0"/>
              <w:spacing w:before="0" w:after="283"/>
              <w:jc w:val="left"/>
              <w:rPr/>
            </w:pPr>
            <w:r>
              <w:rPr/>
              <w:t>November 5,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87"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Catherine M. Mazzeo</w:t>
            </w:r>
          </w:p>
        </w:tc>
      </w:tr>
      <w:tr>
        <w:trPr/>
        <w:tc>
          <w:tcPr>
            <w:tcW w:w="1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87" w:type="dxa"/>
            <w:tcBorders/>
            <w:vAlign w:val="center"/>
          </w:tcPr>
          <w:p>
            <w:pPr>
              <w:pStyle w:val="TableContents"/>
              <w:bidi w:val="0"/>
              <w:spacing w:before="0" w:after="283"/>
              <w:jc w:val="left"/>
              <w:rPr/>
            </w:pPr>
            <w:r>
              <w:rPr/>
              <w:t>Catherine M. Mazzeo</w:t>
            </w:r>
          </w:p>
        </w:tc>
      </w:tr>
      <w:tr>
        <w:trPr/>
        <w:tc>
          <w:tcPr>
            <w:tcW w:w="1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87" w:type="dxa"/>
            <w:tcBorders/>
            <w:vAlign w:val="center"/>
          </w:tcPr>
          <w:p>
            <w:pPr>
              <w:pStyle w:val="TableContents"/>
              <w:bidi w:val="0"/>
              <w:spacing w:before="0" w:after="283"/>
              <w:jc w:val="left"/>
              <w:rPr/>
            </w:pPr>
            <w:r>
              <w:rPr/>
              <w:t>Senior Vice President/Chief Legal, Safety &amp; Compliance Officer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817</Words>
  <Characters>4619</Characters>
  <CharactersWithSpaces>5467</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