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Under the Securities Exchange Act of 1934 (Amendment No. 10)</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Southwest Gas Corporation</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8"/>
          <w:szCs w:val="18"/>
          <w:color w:val="auto"/>
        </w:rPr>
        <w:t>Common Stock Par Value $1.00 Per Share</w:t>
      </w:r>
    </w:p>
    <w:p>
      <w:pPr>
        <w:jc w:val="center"/>
        <w:ind w:right="33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844895102</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right="3819" w:firstLine="632"/>
        <w:spacing w:after="0" w:line="268" w:lineRule="auto"/>
        <w:rPr>
          <w:sz w:val="20"/>
          <w:szCs w:val="20"/>
          <w:color w:val="auto"/>
        </w:rPr>
      </w:pPr>
      <w:r>
        <w:rPr>
          <w:rFonts w:ascii="Courier New" w:cs="Courier New" w:eastAsia="Courier New" w:hAnsi="Courier New"/>
          <w:sz w:val="16"/>
          <w:szCs w:val="16"/>
          <w:color w:val="auto"/>
        </w:rPr>
        <w:t>James E. McKee, Gabelli Asset Management Inc., One Corporate Center, Rye, NY 10580-1434 (914) 921-5294 (Name, Address and Telephone Number of Person Authorized</w:t>
      </w:r>
    </w:p>
    <w:p>
      <w:pPr>
        <w:ind w:left="1380"/>
        <w:spacing w:after="0" w:line="233"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8"/>
          <w:szCs w:val="18"/>
          <w:color w:val="auto"/>
        </w:rPr>
        <w:t>January 6, 1999</w:t>
      </w:r>
    </w:p>
    <w:p>
      <w:pPr>
        <w:jc w:val="center"/>
        <w:ind w:right="32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w:t>
      </w:r>
    </w:p>
    <w:p>
      <w:pPr>
        <w:ind w:right="2759"/>
        <w:spacing w:after="0" w:line="235" w:lineRule="auto"/>
        <w:rPr>
          <w:sz w:val="20"/>
          <w:szCs w:val="20"/>
          <w:color w:val="auto"/>
        </w:rPr>
      </w:pPr>
      <w:r>
        <w:rPr>
          <w:rFonts w:ascii="Courier New" w:cs="Courier New" w:eastAsia="Courier New" w:hAnsi="Courier New"/>
          <w:sz w:val="18"/>
          <w:szCs w:val="18"/>
          <w:color w:val="auto"/>
        </w:rPr>
        <w:t>ule 13D, and is filing this schedule because of Sections 240.13d-1(e), 240.13d-1(f) or 240.13d-1(g),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tabs>
          <w:tab w:leader="none" w:pos="3780" w:val="left"/>
        </w:tabs>
        <w:rPr>
          <w:sz w:val="20"/>
          <w:szCs w:val="20"/>
          <w:color w:val="auto"/>
        </w:rPr>
      </w:pPr>
      <w:r>
        <w:rPr>
          <w:rFonts w:ascii="Courier New" w:cs="Courier New" w:eastAsia="Courier New" w:hAnsi="Courier New"/>
          <w:sz w:val="18"/>
          <w:szCs w:val="18"/>
          <w:color w:val="auto"/>
        </w:rPr>
        <w:t>Gabelli Funds, LLC</w:t>
      </w:r>
      <w:r>
        <w:rPr>
          <w:sz w:val="20"/>
          <w:szCs w:val="20"/>
          <w:color w:val="auto"/>
        </w:rPr>
        <w:tab/>
      </w:r>
      <w:r>
        <w:rPr>
          <w:rFonts w:ascii="Courier New" w:cs="Courier New" w:eastAsia="Courier New" w:hAnsi="Courier New"/>
          <w:sz w:val="16"/>
          <w:szCs w:val="16"/>
          <w:color w:val="auto"/>
        </w:rPr>
        <w:t>I.D. No. 13-4044523</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OO-Funds of investment company clients</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(5)</w:t>
        <w:tab/>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580"/>
        <w:spacing w:after="0"/>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4"/>
          <w:szCs w:val="24"/>
          <w:color w:val="auto"/>
        </w:rPr>
      </w:pPr>
    </w:p>
    <w:p>
      <w:pPr>
        <w:ind w:left="640" w:right="581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894,000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2"/>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894,000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4"/>
          <w:szCs w:val="24"/>
          <w:color w:val="auto"/>
        </w:rPr>
      </w:pPr>
    </w:p>
    <w:p>
      <w:pPr>
        <w:ind w:left="640" w:right="327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894,000 (Item 5)</w:t>
      </w:r>
    </w:p>
    <w:p>
      <w:pPr>
        <w:sectPr>
          <w:pgSz w:w="11900" w:h="16838" w:orient="portrait"/>
          <w:cols w:equalWidth="0" w:num="1">
            <w:col w:w="10139"/>
          </w:cols>
          <w:pgMar w:left="320" w:top="244" w:right="1440" w:bottom="0" w:gutter="0" w:footer="0" w:header="0"/>
        </w:sectPr>
      </w:pPr>
    </w:p>
    <w:bookmarkStart w:id="1" w:name="page2"/>
    <w:bookmarkEnd w:id="1"/>
    <w:p>
      <w:pPr>
        <w:spacing w:after="0" w:line="193" w:lineRule="auto"/>
        <w:tabs>
          <w:tab w:leader="none" w:pos="535" w:val="left"/>
        </w:tabs>
        <w:framePr w:w="600" w:h="146" w:wrap="auto" w:vAnchor="page" w:hAnchor="page" w:x="5980" w:y="547"/>
        <w:rPr>
          <w:rFonts w:ascii="Courier New" w:cs="Courier New" w:eastAsia="Courier New" w:hAnsi="Courier New"/>
          <w:sz w:val="16"/>
          <w:szCs w:val="16"/>
          <w:color w:val="auto"/>
        </w:rPr>
      </w:pPr>
      <w:r>
        <w:rPr>
          <w:rFonts w:ascii="Courier New" w:cs="Courier New" w:eastAsia="Courier New" w:hAnsi="Courier New"/>
          <w:sz w:val="16"/>
          <w:szCs w:val="16"/>
          <w:color w:val="auto"/>
        </w:rPr>
        <w:t>_____</w:t>
      </w:r>
    </w:p>
    <w:p>
      <w:pPr>
        <w:spacing w:after="0" w:line="193" w:lineRule="auto"/>
        <w:tabs>
          <w:tab w:leader="none" w:pos="535" w:val="left"/>
        </w:tabs>
        <w:framePr w:w="200" w:h="146" w:wrap="auto" w:vAnchor="page" w:hAnchor="page" w:x="5860" w:y="75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tabs>
          <w:tab w:leader="none" w:pos="535" w:val="left"/>
        </w:tabs>
        <w:framePr w:w="180" w:h="146" w:wrap="auto" w:vAnchor="page" w:hAnchor="page" w:x="6400" w:y="75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540" w:right="5079" w:hanging="525"/>
        <w:spacing w:after="0" w:line="235" w:lineRule="auto"/>
        <w:rPr>
          <w:sz w:val="20"/>
          <w:szCs w:val="20"/>
          <w:color w:val="auto"/>
        </w:rPr>
      </w:pPr>
      <w:r>
        <w:rPr>
          <w:rFonts w:ascii="Courier New" w:cs="Courier New" w:eastAsia="Courier New" w:hAnsi="Courier New"/>
          <w:sz w:val="18"/>
          <w:szCs w:val="18"/>
          <w:color w:val="auto"/>
        </w:rPr>
        <w:t>(12) CHECK BOX IF THE AGGREGATE AMOUNT IN ROW 11 EXCLUDES CERTAIN SHARES*</w:t>
      </w:r>
    </w:p>
    <w:p>
      <w:pPr>
        <w:spacing w:after="0" w:line="20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5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2.90%</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697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6"/>
          <w:szCs w:val="16"/>
          <w:color w:val="auto"/>
        </w:rPr>
        <w:t>I.D. No. 13-2951242</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OO-Funds of investment advisory clients</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58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58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1,994,983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2,081,983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3279" w:hanging="632"/>
        <w:spacing w:after="0" w:line="235"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2,081,983 (Item 5)</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559" w:hanging="632"/>
        <w:spacing w:after="0" w:line="235"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6.74%</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(14) 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 CO</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Securities, Inc.</w:t>
      </w:r>
      <w:r>
        <w:rPr>
          <w:sz w:val="20"/>
          <w:szCs w:val="20"/>
          <w:color w:val="auto"/>
        </w:rPr>
        <w:tab/>
      </w:r>
      <w:r>
        <w:rPr>
          <w:rFonts w:ascii="Courier New" w:cs="Courier New" w:eastAsia="Courier New" w:hAnsi="Courier New"/>
          <w:sz w:val="16"/>
          <w:szCs w:val="16"/>
          <w:color w:val="auto"/>
        </w:rPr>
        <w:t>I.D. No. 13-3379374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139"/>
          </w:cols>
          <w:pgMar w:left="320" w:top="142" w:right="1440" w:bottom="0" w:gutter="0" w:footer="0" w:header="0"/>
        </w:sectPr>
      </w:pPr>
    </w:p>
    <w:bookmarkStart w:id="2" w:name="page3"/>
    <w:bookmarkEnd w:id="2"/>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580"/>
        <w:spacing w:after="0" w:line="238" w:lineRule="auto"/>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Gabelli Foundation, Inc.</w:t>
      </w:r>
      <w:r>
        <w:rPr>
          <w:sz w:val="20"/>
          <w:szCs w:val="20"/>
          <w:color w:val="auto"/>
        </w:rPr>
        <w:tab/>
      </w:r>
      <w:r>
        <w:rPr>
          <w:rFonts w:ascii="Courier New" w:cs="Courier New" w:eastAsia="Courier New" w:hAnsi="Courier New"/>
          <w:sz w:val="16"/>
          <w:szCs w:val="16"/>
          <w:color w:val="auto"/>
        </w:rPr>
        <w:t>I.D. No. 94-2975159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AGGREGATE AMOUNT BENEFICIALLY OWNED BY EACH REPORTING PERSON</w:t>
      </w:r>
    </w:p>
    <w:p>
      <w:pPr>
        <w:sectPr>
          <w:pgSz w:w="11900" w:h="16838" w:orient="portrait"/>
          <w:cols w:equalWidth="0" w:num="1">
            <w:col w:w="10139"/>
          </w:cols>
          <w:pgMar w:left="320" w:top="136" w:right="1440" w:bottom="0" w:gutter="0" w:footer="0" w:header="0"/>
        </w:sectPr>
      </w:pPr>
    </w:p>
    <w:bookmarkStart w:id="3" w:name="page4"/>
    <w:bookmarkEnd w:id="3"/>
    <w:p>
      <w:pPr>
        <w:spacing w:after="0" w:line="193" w:lineRule="auto"/>
        <w:framePr w:w="600" w:h="146" w:wrap="auto" w:vAnchor="page" w:hAnchor="page" w:x="5980" w:y="750"/>
        <w:rPr>
          <w:rFonts w:ascii="Courier New" w:cs="Courier New" w:eastAsia="Courier New" w:hAnsi="Courier New"/>
          <w:sz w:val="16"/>
          <w:szCs w:val="16"/>
          <w:color w:val="auto"/>
        </w:rPr>
      </w:pPr>
      <w:r>
        <w:rPr>
          <w:rFonts w:ascii="Courier New" w:cs="Courier New" w:eastAsia="Courier New" w:hAnsi="Courier New"/>
          <w:sz w:val="16"/>
          <w:szCs w:val="16"/>
          <w:color w:val="auto"/>
        </w:rPr>
        <w:t>_____</w:t>
      </w:r>
    </w:p>
    <w:p>
      <w:pPr>
        <w:spacing w:after="0" w:line="193" w:lineRule="auto"/>
        <w:framePr w:w="200" w:h="146" w:wrap="auto" w:vAnchor="page" w:hAnchor="page" w:x="5860" w:y="952"/>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180" w:h="146" w:wrap="auto" w:vAnchor="page" w:hAnchor="page" w:x="6400" w:y="952"/>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11,000 (Item 5)</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540" w:right="5079" w:hanging="525"/>
        <w:spacing w:after="0" w:line="235" w:lineRule="auto"/>
        <w:rPr>
          <w:sz w:val="20"/>
          <w:szCs w:val="20"/>
          <w:color w:val="auto"/>
        </w:rPr>
      </w:pPr>
      <w:r>
        <w:rPr>
          <w:rFonts w:ascii="Courier New" w:cs="Courier New" w:eastAsia="Courier New" w:hAnsi="Courier New"/>
          <w:sz w:val="18"/>
          <w:szCs w:val="18"/>
          <w:color w:val="auto"/>
        </w:rPr>
        <w:t>(12) CHECK BOX IF THE AGGREGATE AMOUNT IN ROW 11 EXCLUDES CERTAIN SHARES*</w:t>
      </w:r>
    </w:p>
    <w:p>
      <w:pPr>
        <w:spacing w:after="0" w:line="20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559" w:hanging="632"/>
        <w:spacing w:after="0" w:line="235" w:lineRule="auto"/>
        <w:tabs>
          <w:tab w:leader="none" w:pos="53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0.04%</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6979" w:hanging="632"/>
        <w:spacing w:after="0" w:line="268" w:lineRule="auto"/>
        <w:tabs>
          <w:tab w:leader="none" w:pos="53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00-PRIVATE FOUNDATION</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3360" w:val="left"/>
        </w:tabs>
        <w:rPr>
          <w:sz w:val="20"/>
          <w:szCs w:val="20"/>
          <w:color w:val="auto"/>
        </w:rPr>
      </w:pPr>
      <w:r>
        <w:rPr>
          <w:rFonts w:ascii="Courier New" w:cs="Courier New" w:eastAsia="Courier New" w:hAnsi="Courier New"/>
          <w:sz w:val="18"/>
          <w:szCs w:val="18"/>
          <w:color w:val="auto"/>
        </w:rPr>
        <w:t>Gabelli Fund, LDC</w:t>
      </w:r>
      <w:r>
        <w:rPr>
          <w:sz w:val="20"/>
          <w:szCs w:val="20"/>
          <w:color w:val="auto"/>
        </w:rPr>
        <w:tab/>
      </w:r>
      <w:r>
        <w:rPr>
          <w:rFonts w:ascii="Courier New" w:cs="Courier New" w:eastAsia="Courier New" w:hAnsi="Courier New"/>
          <w:sz w:val="16"/>
          <w:szCs w:val="16"/>
          <w:color w:val="auto"/>
        </w:rPr>
        <w:t>I.D. No. Foreign Corporation</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WC</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5819" w:hanging="632"/>
        <w:spacing w:after="0" w:line="268" w:lineRule="auto"/>
        <w:tabs>
          <w:tab w:leader="none" w:pos="53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British Virgin Islands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2"/>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3279" w:hanging="632"/>
        <w:spacing w:after="0" w:line="235" w:lineRule="auto"/>
        <w:tabs>
          <w:tab w:leader="none" w:pos="53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 (Item 5)</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4559" w:hanging="632"/>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6"/>
          <w:szCs w:val="16"/>
          <w:color w:val="auto"/>
        </w:rPr>
      </w:pPr>
    </w:p>
    <w:p>
      <w:pPr>
        <w:ind w:left="640" w:right="6979" w:hanging="632"/>
        <w:spacing w:after="0" w:line="235"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6"/>
          <w:szCs w:val="16"/>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rFonts w:ascii="Courier New" w:cs="Courier New" w:eastAsia="Courier New" w:hAnsi="Courier New"/>
          <w:sz w:val="16"/>
          <w:szCs w:val="16"/>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Associates Fund</w:t>
      </w:r>
      <w:r>
        <w:rPr>
          <w:sz w:val="20"/>
          <w:szCs w:val="20"/>
          <w:color w:val="auto"/>
        </w:rPr>
        <w:tab/>
      </w:r>
      <w:r>
        <w:rPr>
          <w:rFonts w:ascii="Courier New" w:cs="Courier New" w:eastAsia="Courier New" w:hAnsi="Courier New"/>
          <w:sz w:val="16"/>
          <w:szCs w:val="16"/>
          <w:color w:val="auto"/>
        </w:rPr>
        <w:t>I.D. No. 13-3246203</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6"/>
          <w:szCs w:val="16"/>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139"/>
          </w:cols>
          <w:pgMar w:left="320" w:top="136" w:right="1440" w:bottom="0" w:gutter="0" w:footer="0" w:header="0"/>
        </w:sectPr>
      </w:pPr>
    </w:p>
    <w:bookmarkStart w:id="4" w:name="page5"/>
    <w:bookmarkEnd w:id="4"/>
    <w:p>
      <w:pPr>
        <w:ind w:left="5280"/>
        <w:spacing w:after="0"/>
        <w:rPr>
          <w:sz w:val="20"/>
          <w:szCs w:val="20"/>
          <w:color w:val="auto"/>
        </w:rPr>
      </w:pPr>
      <w:r>
        <w:rPr>
          <w:rFonts w:ascii="Courier New" w:cs="Courier New" w:eastAsia="Courier New" w:hAnsi="Courier New"/>
          <w:sz w:val="18"/>
          <w:szCs w:val="18"/>
          <w:color w:val="auto"/>
        </w:rPr>
        <w:t>(b) /___/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38,400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38,400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38,400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53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53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Gabelli Associates Limited</w:t>
      </w:r>
      <w:r>
        <w:rPr>
          <w:sz w:val="20"/>
          <w:szCs w:val="20"/>
          <w:color w:val="auto"/>
        </w:rPr>
        <w:tab/>
      </w:r>
      <w:r>
        <w:rPr>
          <w:rFonts w:ascii="Courier New" w:cs="Courier New" w:eastAsia="Courier New" w:hAnsi="Courier New"/>
          <w:sz w:val="16"/>
          <w:szCs w:val="16"/>
          <w:color w:val="auto"/>
        </w:rPr>
        <w:t>I.D. No. Foreign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WC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68" w:lineRule="auto"/>
        <w:tabs>
          <w:tab w:leader="none" w:pos="53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British Virgin Islands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23,000 (Item 5)</w:t>
            </w:r>
          </w:p>
        </w:tc>
      </w:tr>
      <w:tr>
        <w:trPr>
          <w:trHeight w:val="202"/>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bl>
    <w:p>
      <w:pPr>
        <w:sectPr>
          <w:pgSz w:w="11900" w:h="16838" w:orient="portrait"/>
          <w:cols w:equalWidth="0" w:num="1">
            <w:col w:w="10139"/>
          </w:cols>
          <w:pgMar w:left="320" w:top="136" w:right="1440" w:bottom="0" w:gutter="0" w:footer="0" w:header="0"/>
        </w:sectPr>
      </w:pPr>
    </w:p>
    <w:bookmarkStart w:id="5" w:name="page6"/>
    <w:bookmarkEnd w:id="5"/>
    <w:p>
      <w:pPr>
        <w:ind w:left="42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279" w:hanging="532"/>
        <w:spacing w:after="0" w:line="235"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53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53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720" w:val="left"/>
        </w:tabs>
        <w:rPr>
          <w:sz w:val="20"/>
          <w:szCs w:val="20"/>
          <w:color w:val="auto"/>
        </w:rPr>
      </w:pPr>
      <w:r>
        <w:rPr>
          <w:rFonts w:ascii="Courier New" w:cs="Courier New" w:eastAsia="Courier New" w:hAnsi="Courier New"/>
          <w:sz w:val="18"/>
          <w:szCs w:val="18"/>
          <w:color w:val="auto"/>
        </w:rPr>
        <w:t>Gabelli Group Capital Partners, Inc.</w:t>
      </w:r>
      <w:r>
        <w:rPr>
          <w:sz w:val="20"/>
          <w:szCs w:val="20"/>
          <w:color w:val="auto"/>
        </w:rPr>
        <w:tab/>
      </w:r>
      <w:r>
        <w:rPr>
          <w:rFonts w:ascii="Courier New" w:cs="Courier New" w:eastAsia="Courier New" w:hAnsi="Courier New"/>
          <w:sz w:val="16"/>
          <w:szCs w:val="16"/>
          <w:color w:val="auto"/>
        </w:rPr>
        <w:t>I.D. No. 13-3056041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58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2"/>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580"/>
        <w:spacing w:after="0" w:line="238" w:lineRule="auto"/>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53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53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Gabelli Asset Management Inc.</w:t>
      </w:r>
      <w:r>
        <w:rPr>
          <w:sz w:val="20"/>
          <w:szCs w:val="20"/>
          <w:color w:val="auto"/>
        </w:rPr>
        <w:tab/>
      </w:r>
      <w:r>
        <w:rPr>
          <w:rFonts w:ascii="Courier New" w:cs="Courier New" w:eastAsia="Courier New" w:hAnsi="Courier New"/>
          <w:sz w:val="16"/>
          <w:szCs w:val="16"/>
          <w:color w:val="auto"/>
        </w:rPr>
        <w:t>I.D. No. 13-4007862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139"/>
          </w:cols>
          <w:pgMar w:left="320" w:top="136" w:right="1440" w:bottom="0" w:gutter="0" w:footer="0" w:header="0"/>
        </w:sectPr>
      </w:pPr>
    </w:p>
    <w:bookmarkStart w:id="6" w:name="page7"/>
    <w:bookmarkEnd w:id="6"/>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jc w:val="right"/>
        <w:ind w:right="3919"/>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58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70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70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70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580"/>
        <w:spacing w:after="0" w:line="238" w:lineRule="auto"/>
        <w:rPr>
          <w:sz w:val="20"/>
          <w:szCs w:val="20"/>
          <w:color w:val="auto"/>
        </w:rPr>
      </w:pPr>
      <w:r>
        <w:rPr>
          <w:rFonts w:ascii="Courier New" w:cs="Courier New" w:eastAsia="Courier New" w:hAnsi="Courier New"/>
          <w:sz w:val="18"/>
          <w:szCs w:val="18"/>
          <w:color w:val="auto"/>
        </w:rPr>
        <w:t>/_x__/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53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53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 J. Gabelli</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line="238"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19" w:hanging="632"/>
        <w:spacing w:after="0" w:line="235" w:lineRule="auto"/>
        <w:tabs>
          <w:tab w:leader="none" w:pos="535"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bl>
    <w:p>
      <w:pPr>
        <w:sectPr>
          <w:pgSz w:w="11900" w:h="16838" w:orient="portrait"/>
          <w:cols w:equalWidth="0" w:num="1">
            <w:col w:w="10139"/>
          </w:cols>
          <w:pgMar w:left="320" w:top="136" w:right="1440" w:bottom="0" w:gutter="0" w:footer="0" w:header="0"/>
        </w:sectPr>
      </w:pPr>
    </w:p>
    <w:bookmarkStart w:id="7" w:name="page8"/>
    <w:bookmarkEnd w:id="7"/>
    <w:p>
      <w:pPr>
        <w:ind w:left="42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POWER</w:t>
      </w:r>
    </w:p>
    <w:p>
      <w:pPr>
        <w:ind w:left="42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540" w:right="32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58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rPr>
          <w:sz w:val="20"/>
          <w:szCs w:val="20"/>
          <w:color w:val="auto"/>
        </w:rPr>
      </w:pPr>
      <w:r>
        <w:rPr>
          <w:rFonts w:ascii="Courier New" w:cs="Courier New" w:eastAsia="Courier New" w:hAnsi="Courier New"/>
          <w:sz w:val="18"/>
          <w:szCs w:val="18"/>
          <w:color w:val="auto"/>
        </w:rPr>
        <w:t>0.00%</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640" w:right="6979" w:hanging="632"/>
        <w:spacing w:after="0" w:line="235" w:lineRule="auto"/>
        <w:tabs>
          <w:tab w:leader="none" w:pos="53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5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Mario J. Gabelli</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(5)</w:t>
        <w:tab/>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58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640" w:right="5819" w:hanging="632"/>
        <w:spacing w:after="0" w:line="235" w:lineRule="auto"/>
        <w:tabs>
          <w:tab w:leader="none" w:pos="53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2"/>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540" w:right="3279" w:hanging="532"/>
        <w:spacing w:after="0" w:line="235"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58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5" w:lineRule="exact"/>
        <w:rPr>
          <w:sz w:val="20"/>
          <w:szCs w:val="20"/>
          <w:color w:val="auto"/>
        </w:rPr>
      </w:pPr>
    </w:p>
    <w:p>
      <w:pPr>
        <w:ind w:left="640" w:right="4559" w:hanging="632"/>
        <w:spacing w:after="0" w:line="235" w:lineRule="auto"/>
        <w:tabs>
          <w:tab w:leader="none" w:pos="53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(14) 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5"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This Amendment No. 10 to Schedule 13D on the Common Stock of Southwest Gas Corporation (the "Issuer") is being filed on behalf of the undersigned to amend the Schedule 13D, as amended (the "Schedule 13D") which was originally filed on February 7, 1997. Unless otherwise indicated, all capitalized terms used herein but not defined herein shall have the same meaning as set forth in the Schedule 13D.</w:t>
      </w:r>
    </w:p>
    <w:p>
      <w:pPr>
        <w:sectPr>
          <w:pgSz w:w="11900" w:h="16838" w:orient="portrait"/>
          <w:cols w:equalWidth="0" w:num="1">
            <w:col w:w="10139"/>
          </w:cols>
          <w:pgMar w:left="320" w:top="136" w:right="1440" w:bottom="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2659" w:firstLine="1053"/>
        <w:spacing w:after="0" w:line="238" w:lineRule="auto"/>
        <w:rPr>
          <w:sz w:val="20"/>
          <w:szCs w:val="20"/>
          <w:color w:val="auto"/>
        </w:rPr>
      </w:pPr>
      <w:r>
        <w:rPr>
          <w:rFonts w:ascii="Courier New" w:cs="Courier New" w:eastAsia="Courier New" w:hAnsi="Courier New"/>
          <w:sz w:val="18"/>
          <w:szCs w:val="18"/>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Spinnaker Industries, Incorporated ("Spinnaker"), Western New Mexico Telephone Company ("Western New Mexico"), Entoleter, Inc. ("Entoleter"), Lynch Telecommunications Corporation ("Lynch Telecom"), Lynch Telephone Corporation ("Lynch Telephone")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4" w:lineRule="exact"/>
        <w:rPr>
          <w:sz w:val="20"/>
          <w:szCs w:val="20"/>
          <w:color w:val="auto"/>
        </w:rPr>
      </w:pPr>
    </w:p>
    <w:p>
      <w:pPr>
        <w:ind w:right="2559" w:firstLine="1053"/>
        <w:spacing w:after="0" w:line="238" w:lineRule="auto"/>
        <w:rPr>
          <w:sz w:val="20"/>
          <w:szCs w:val="20"/>
          <w:color w:val="auto"/>
        </w:rPr>
      </w:pPr>
      <w:r>
        <w:rPr>
          <w:rFonts w:ascii="Courier New" w:cs="Courier New" w:eastAsia="Courier New" w:hAnsi="Courier New"/>
          <w:sz w:val="18"/>
          <w:szCs w:val="18"/>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4" w:lineRule="exact"/>
        <w:rPr>
          <w:sz w:val="20"/>
          <w:szCs w:val="20"/>
          <w:color w:val="auto"/>
        </w:rPr>
      </w:pPr>
    </w:p>
    <w:p>
      <w:pPr>
        <w:ind w:right="2979" w:firstLine="1053"/>
        <w:spacing w:after="0" w:line="236"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w:t>
      </w:r>
    </w:p>
    <w:p>
      <w:pPr>
        <w:spacing w:after="0" w:line="6"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("GAMI") , Gabelli Funds, LLC ("Gabelli Funds"), GAMCO Investors, Inc. ("GAMCO"), Gabelli Securities, Inc. ("GSI"), Gabelli &amp; Company, Inc. ("Gabelli &amp; Company"), Gabelli Performance Partnership L.P. ("GPP"), GLI, Inc. ("GLI"), Gabelli Associates Fund ("Gabelli Associates"), Gabelli Associates Limited ("GAL"), Gabelli &amp; Company, Inc. Profit Sharing Plan (the "Plan"), Gabelli International Limited ("GIL"), Gabelli International II Limited ("GIL II"), Gabelli International Gold Fund Limited ("GIGFL"), ALCE Partners, L.P. ("ALCE"), Gabelli Multimedia Partners, L.P. ("Multimedia Partners"), MJG Associates, Inc. ("MJG Assocciates"), Gemini Capital Management Ltd. ("Gemini"), Gabelli Fund, LDC ("LDC"), Gabelli Foundation, Inc. ("Foundation"), Gabelli Global Partners, Ltd. ("GGP Ltd."), Gabelli Global Partners, L.P. ("GGP L.P."), Mario Gabelli, Marc Gabelli, Lynch, Spinnaker, Western New Mexico, Entoleter, Lynch Telecom, Lynch Telephone and Inter-Community. Those of the foregoing persons signing this Schedule 13D are hereafter referred to as the "Reporting Persons".</w:t>
      </w:r>
    </w:p>
    <w:p>
      <w:pPr>
        <w:spacing w:after="0" w:line="5" w:lineRule="exact"/>
        <w:rPr>
          <w:sz w:val="20"/>
          <w:szCs w:val="20"/>
          <w:color w:val="auto"/>
        </w:rPr>
      </w:pPr>
    </w:p>
    <w:p>
      <w:pPr>
        <w:ind w:right="2659" w:firstLine="1053"/>
        <w:spacing w:after="0" w:line="268" w:lineRule="auto"/>
        <w:rPr>
          <w:sz w:val="20"/>
          <w:szCs w:val="20"/>
          <w:color w:val="auto"/>
        </w:rPr>
      </w:pPr>
      <w:r>
        <w:rPr>
          <w:rFonts w:ascii="Courier New" w:cs="Courier New" w:eastAsia="Courier New" w:hAnsi="Courier New"/>
          <w:sz w:val="16"/>
          <w:szCs w:val="16"/>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ind w:right="2559" w:firstLine="1053"/>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GSI, a majority-owned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pacing w:after="0" w:line="6"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("l934 Act"), which as a part of its business regularly purchases and sells securities for its own account.</w:t>
      </w:r>
    </w:p>
    <w:p>
      <w:pPr>
        <w:spacing w:after="0" w:line="5" w:lineRule="exact"/>
        <w:rPr>
          <w:sz w:val="20"/>
          <w:szCs w:val="20"/>
          <w:color w:val="auto"/>
        </w:rPr>
      </w:pPr>
    </w:p>
    <w:p>
      <w:pPr>
        <w:ind w:right="2859" w:firstLine="1053"/>
        <w:spacing w:after="0" w:line="235" w:lineRule="auto"/>
        <w:rPr>
          <w:sz w:val="20"/>
          <w:szCs w:val="20"/>
          <w:color w:val="auto"/>
        </w:rPr>
      </w:pPr>
      <w:r>
        <w:rPr>
          <w:rFonts w:ascii="Courier New" w:cs="Courier New" w:eastAsia="Courier New" w:hAnsi="Courier New"/>
          <w:sz w:val="18"/>
          <w:szCs w:val="18"/>
          <w:color w:val="auto"/>
        </w:rPr>
        <w:t>GLI, wholly-owned subsidiary of GSI, is a corporation which currently has no active operations.</w:t>
      </w:r>
    </w:p>
    <w:p>
      <w:pPr>
        <w:spacing w:after="0" w:line="6" w:lineRule="exact"/>
        <w:rPr>
          <w:sz w:val="20"/>
          <w:szCs w:val="20"/>
          <w:color w:val="auto"/>
        </w:rPr>
      </w:pPr>
    </w:p>
    <w:p>
      <w:pPr>
        <w:ind w:right="2759" w:firstLine="1053"/>
        <w:spacing w:after="0" w:line="236" w:lineRule="auto"/>
        <w:rPr>
          <w:sz w:val="20"/>
          <w:szCs w:val="20"/>
          <w:color w:val="auto"/>
        </w:rPr>
      </w:pPr>
      <w:r>
        <w:rPr>
          <w:rFonts w:ascii="Courier New" w:cs="Courier New" w:eastAsia="Courier New" w:hAnsi="Courier New"/>
          <w:sz w:val="18"/>
          <w:szCs w:val="18"/>
          <w:color w:val="auto"/>
        </w:rPr>
        <w:t>Gabelli Associates is a New York limited partnership whose primary business purpose is risk arbitrage investments. GSI and Mario Gabelli are the general partners of Gabelli Associates.</w:t>
      </w:r>
    </w:p>
    <w:p>
      <w:pPr>
        <w:spacing w:after="0" w:line="6" w:lineRule="exact"/>
        <w:rPr>
          <w:sz w:val="20"/>
          <w:szCs w:val="20"/>
          <w:color w:val="auto"/>
        </w:rPr>
      </w:pPr>
    </w:p>
    <w:p>
      <w:pPr>
        <w:ind w:right="2659" w:firstLine="1053"/>
        <w:spacing w:after="0" w:line="237" w:lineRule="auto"/>
        <w:rPr>
          <w:sz w:val="20"/>
          <w:szCs w:val="20"/>
          <w:color w:val="auto"/>
        </w:rPr>
      </w:pPr>
      <w:r>
        <w:rPr>
          <w:rFonts w:ascii="Courier New" w:cs="Courier New" w:eastAsia="Courier New" w:hAnsi="Courier New"/>
          <w:sz w:val="18"/>
          <w:szCs w:val="18"/>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6" w:lineRule="exact"/>
        <w:rPr>
          <w:sz w:val="20"/>
          <w:szCs w:val="20"/>
          <w:color w:val="auto"/>
        </w:rPr>
      </w:pPr>
    </w:p>
    <w:p>
      <w:pPr>
        <w:ind w:right="2559" w:firstLine="1053"/>
        <w:spacing w:after="0" w:line="279" w:lineRule="auto"/>
        <w:rPr>
          <w:sz w:val="20"/>
          <w:szCs w:val="20"/>
          <w:color w:val="auto"/>
        </w:rPr>
      </w:pPr>
      <w:r>
        <w:rPr>
          <w:rFonts w:ascii="Courier New" w:cs="Courier New" w:eastAsia="Courier New" w:hAnsi="Courier New"/>
          <w:sz w:val="16"/>
          <w:szCs w:val="16"/>
          <w:color w:val="auto"/>
        </w:rPr>
        <w:t>Gabelli Funds, a wholly-owned subsidiary of GAMI, is a limited liability company. Gabelli Funds is an investment adviser registered under the Advisers Act which presently provides discretionary advisory</w:t>
      </w:r>
    </w:p>
    <w:p>
      <w:pPr>
        <w:sectPr>
          <w:pgSz w:w="11900" w:h="16838" w:orient="portrait"/>
          <w:cols w:equalWidth="0" w:num="1">
            <w:col w:w="10139"/>
          </w:cols>
          <w:pgMar w:left="320" w:top="136" w:right="1440" w:bottom="0" w:gutter="0" w:footer="0" w:header="0"/>
        </w:sectPr>
      </w:pPr>
    </w:p>
    <w:bookmarkStart w:id="9" w:name="page10"/>
    <w:bookmarkEnd w:id="9"/>
    <w:p>
      <w:pPr>
        <w:ind w:right="2559"/>
        <w:spacing w:after="0" w:line="237" w:lineRule="auto"/>
        <w:rPr>
          <w:sz w:val="20"/>
          <w:szCs w:val="20"/>
          <w:color w:val="auto"/>
        </w:rPr>
      </w:pPr>
      <w:r>
        <w:rPr>
          <w:rFonts w:ascii="Courier New" w:cs="Courier New" w:eastAsia="Courier New" w:hAnsi="Courier New"/>
          <w:sz w:val="18"/>
          <w:szCs w:val="18"/>
          <w:color w:val="auto"/>
        </w:rPr>
        <w:t>services to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Interactive Couch Potato Fund, The Gabelli Utility Trust and The Gabelli Global Opportunity Fund (collectively, the "Funds"), which are registered investment companies.</w:t>
      </w:r>
    </w:p>
    <w:p>
      <w:pPr>
        <w:spacing w:after="0" w:line="11" w:lineRule="exact"/>
        <w:rPr>
          <w:sz w:val="20"/>
          <w:szCs w:val="20"/>
          <w:color w:val="auto"/>
        </w:rPr>
      </w:pPr>
    </w:p>
    <w:p>
      <w:pPr>
        <w:ind w:right="2759" w:firstLine="1053"/>
        <w:spacing w:after="0" w:line="236" w:lineRule="auto"/>
        <w:rPr>
          <w:sz w:val="20"/>
          <w:szCs w:val="20"/>
          <w:color w:val="auto"/>
        </w:rPr>
      </w:pPr>
      <w:r>
        <w:rPr>
          <w:rFonts w:ascii="Courier New" w:cs="Courier New" w:eastAsia="Courier New" w:hAnsi="Courier New"/>
          <w:sz w:val="18"/>
          <w:szCs w:val="18"/>
          <w:color w:val="auto"/>
        </w:rPr>
        <w:t>Gabelli Advisers, Inc. ("Gabelli Advisers"), a subsidiary of GAMI, is an investment adviser which provides discretionary advisory services to The Gabelli Westwood Mighty Mitessm Fund.</w:t>
      </w:r>
    </w:p>
    <w:p>
      <w:pPr>
        <w:spacing w:after="0" w:line="6" w:lineRule="exact"/>
        <w:rPr>
          <w:sz w:val="20"/>
          <w:szCs w:val="20"/>
          <w:color w:val="auto"/>
        </w:rPr>
      </w:pPr>
    </w:p>
    <w:p>
      <w:pPr>
        <w:ind w:right="2979" w:firstLine="1053"/>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6" w:lineRule="exact"/>
        <w:rPr>
          <w:sz w:val="20"/>
          <w:szCs w:val="20"/>
          <w:color w:val="auto"/>
        </w:rPr>
      </w:pPr>
    </w:p>
    <w:p>
      <w:pPr>
        <w:ind w:right="2559" w:firstLine="1053"/>
        <w:spacing w:after="0" w:line="236" w:lineRule="auto"/>
        <w:rPr>
          <w:sz w:val="20"/>
          <w:szCs w:val="20"/>
          <w:color w:val="auto"/>
        </w:rPr>
      </w:pPr>
      <w:r>
        <w:rPr>
          <w:rFonts w:ascii="Courier New" w:cs="Courier New" w:eastAsia="Courier New" w:hAnsi="Courier New"/>
          <w:sz w:val="18"/>
          <w:szCs w:val="18"/>
          <w:color w:val="auto"/>
        </w:rPr>
        <w:t>GPP is a limited partnership whose primary business purpose is investing in securities. MJG Associates is the general partner of GPP, and Mario Gabelli is a portfolio manager for GPP.</w:t>
      </w:r>
    </w:p>
    <w:p>
      <w:pPr>
        <w:spacing w:after="0" w:line="6"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0"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0" w:lineRule="exact"/>
        <w:rPr>
          <w:sz w:val="20"/>
          <w:szCs w:val="20"/>
          <w:color w:val="auto"/>
        </w:rPr>
      </w:pPr>
    </w:p>
    <w:p>
      <w:pPr>
        <w:ind w:right="2559" w:firstLine="737"/>
        <w:spacing w:after="0" w:line="236" w:lineRule="auto"/>
        <w:rPr>
          <w:sz w:val="20"/>
          <w:szCs w:val="20"/>
          <w:color w:val="auto"/>
        </w:rPr>
      </w:pPr>
      <w:r>
        <w:rPr>
          <w:rFonts w:ascii="Courier New" w:cs="Courier New" w:eastAsia="Courier New" w:hAnsi="Courier New"/>
          <w:sz w:val="18"/>
          <w:szCs w:val="18"/>
          <w:color w:val="auto"/>
        </w:rPr>
        <w:t>ALCE is an investment limited partnership that seeks long-term capital appreciation primarily through investments in public and private equity securities. GSI is a general partner of ALCE.</w:t>
      </w:r>
    </w:p>
    <w:p>
      <w:pPr>
        <w:spacing w:after="0" w:line="6" w:lineRule="exact"/>
        <w:rPr>
          <w:sz w:val="20"/>
          <w:szCs w:val="20"/>
          <w:color w:val="auto"/>
        </w:rPr>
      </w:pPr>
    </w:p>
    <w:p>
      <w:pPr>
        <w:ind w:right="2859" w:firstLine="737"/>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5" w:lineRule="exact"/>
        <w:rPr>
          <w:sz w:val="20"/>
          <w:szCs w:val="20"/>
          <w:color w:val="auto"/>
        </w:rPr>
      </w:pPr>
    </w:p>
    <w:p>
      <w:pPr>
        <w:ind w:right="2559" w:firstLine="737"/>
        <w:spacing w:after="0" w:line="237" w:lineRule="auto"/>
        <w:rPr>
          <w:sz w:val="20"/>
          <w:szCs w:val="20"/>
          <w:color w:val="auto"/>
        </w:rPr>
      </w:pPr>
      <w:r>
        <w:rPr>
          <w:rFonts w:ascii="Courier New" w:cs="Courier New" w:eastAsia="Courier New" w:hAnsi="Courier New"/>
          <w:sz w:val="18"/>
          <w:szCs w:val="18"/>
          <w:color w:val="auto"/>
        </w:rPr>
        <w:t>GGP L.P. is a partnership whose primary business purpose is investing in Securities on a global basis. Gabelli Securities, Inc. and Gemini Capital Management, LLC are the general partners of GGP L.P. and Marc Gabelli is a portfolio manager for GGP L.P.</w:t>
      </w:r>
    </w:p>
    <w:p>
      <w:pPr>
        <w:spacing w:after="0" w:line="5" w:lineRule="exact"/>
        <w:rPr>
          <w:sz w:val="20"/>
          <w:szCs w:val="20"/>
          <w:color w:val="auto"/>
        </w:rPr>
      </w:pPr>
    </w:p>
    <w:p>
      <w:pPr>
        <w:ind w:right="3179" w:firstLine="737"/>
        <w:spacing w:after="0" w:line="237" w:lineRule="auto"/>
        <w:rPr>
          <w:sz w:val="20"/>
          <w:szCs w:val="20"/>
          <w:color w:val="auto"/>
        </w:rPr>
      </w:pPr>
      <w:r>
        <w:rPr>
          <w:rFonts w:ascii="Courier New" w:cs="Courier New" w:eastAsia="Courier New" w:hAnsi="Courier New"/>
          <w:sz w:val="18"/>
          <w:szCs w:val="18"/>
          <w:color w:val="auto"/>
        </w:rPr>
        <w:t>GGP Ltd. is a corporation whose primary business purpose is investing in Securities on a global basis. Gabelli Securities, International Limited and Gemini Capital Management, LLC are the investment advisors of GGP Ltd. and Marc Gabelli is the portfolio manager for GGP Ltd.</w:t>
      </w:r>
    </w:p>
    <w:p>
      <w:pPr>
        <w:spacing w:after="0" w:line="6" w:lineRule="exact"/>
        <w:rPr>
          <w:sz w:val="20"/>
          <w:szCs w:val="20"/>
          <w:color w:val="auto"/>
        </w:rPr>
      </w:pPr>
    </w:p>
    <w:p>
      <w:pPr>
        <w:ind w:right="2559" w:firstLine="737"/>
        <w:spacing w:after="0" w:line="237" w:lineRule="auto"/>
        <w:rPr>
          <w:sz w:val="20"/>
          <w:szCs w:val="20"/>
          <w:color w:val="auto"/>
        </w:rPr>
      </w:pPr>
      <w:r>
        <w:rPr>
          <w:rFonts w:ascii="Courier New" w:cs="Courier New" w:eastAsia="Courier New" w:hAnsi="Courier New"/>
          <w:sz w:val="18"/>
          <w:szCs w:val="18"/>
          <w:color w:val="auto"/>
        </w:rPr>
        <w:t>LDC is a corporation whose business purpose is investing primarily in a portfolio of equity securities and securities convertible into, or exchangeable for, equity securities in order to achieve its investment objective of significant long-term growth of capital. Interests are offered to insurance companies which do not conduct any business in the United States and which are licensed where they do business. MJG Associates is the Investment Manager of LDC. Mario Gabelli is a portfolio manager for LDC.</w:t>
      </w:r>
    </w:p>
    <w:p>
      <w:pPr>
        <w:spacing w:after="0" w:line="9" w:lineRule="exact"/>
        <w:rPr>
          <w:sz w:val="20"/>
          <w:szCs w:val="20"/>
          <w:color w:val="auto"/>
        </w:rPr>
      </w:pPr>
    </w:p>
    <w:p>
      <w:pPr>
        <w:jc w:val="both"/>
        <w:ind w:right="2659" w:firstLine="737"/>
        <w:spacing w:after="0" w:line="236"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w:t>
      </w:r>
    </w:p>
    <w:p>
      <w:pPr>
        <w:spacing w:after="0" w:line="6" w:lineRule="exact"/>
        <w:rPr>
          <w:sz w:val="20"/>
          <w:szCs w:val="20"/>
          <w:color w:val="auto"/>
        </w:rPr>
      </w:pPr>
    </w:p>
    <w:p>
      <w:pPr>
        <w:ind w:right="3079" w:firstLine="737"/>
        <w:spacing w:after="0" w:line="236" w:lineRule="auto"/>
        <w:rPr>
          <w:sz w:val="20"/>
          <w:szCs w:val="20"/>
          <w:color w:val="auto"/>
        </w:rPr>
      </w:pPr>
      <w:r>
        <w:rPr>
          <w:rFonts w:ascii="Courier New" w:cs="Courier New" w:eastAsia="Courier New" w:hAnsi="Courier New"/>
          <w:sz w:val="18"/>
          <w:szCs w:val="18"/>
          <w:color w:val="auto"/>
        </w:rPr>
        <w:t>Gemini is a corporation whose primary business purpose is to provide advisory services to offshore funds. Marc Gabelli is the President and Chief Investment Officer of Gemini.</w:t>
      </w:r>
    </w:p>
    <w:p>
      <w:pPr>
        <w:spacing w:after="0" w:line="6" w:lineRule="exact"/>
        <w:rPr>
          <w:sz w:val="20"/>
          <w:szCs w:val="20"/>
          <w:color w:val="auto"/>
        </w:rPr>
      </w:pPr>
    </w:p>
    <w:p>
      <w:pPr>
        <w:ind w:right="3079" w:firstLine="737"/>
        <w:spacing w:after="0" w:line="268" w:lineRule="auto"/>
        <w:rPr>
          <w:sz w:val="20"/>
          <w:szCs w:val="20"/>
          <w:color w:val="auto"/>
        </w:rPr>
      </w:pPr>
      <w:r>
        <w:rPr>
          <w:rFonts w:ascii="Courier New" w:cs="Courier New" w:eastAsia="Courier New" w:hAnsi="Courier New"/>
          <w:sz w:val="16"/>
          <w:szCs w:val="16"/>
          <w:color w:val="auto"/>
        </w:rPr>
        <w:t>The Foundation is a private foundation. Mario Gabelli is the President, a Trustee and the Investment Manager of the Foundation.</w:t>
      </w:r>
    </w:p>
    <w:p>
      <w:pPr>
        <w:ind w:right="2559" w:firstLine="737"/>
        <w:spacing w:after="0" w:line="270" w:lineRule="auto"/>
        <w:rPr>
          <w:sz w:val="20"/>
          <w:szCs w:val="20"/>
          <w:color w:val="auto"/>
        </w:rPr>
      </w:pPr>
      <w:r>
        <w:rPr>
          <w:rFonts w:ascii="Courier New" w:cs="Courier New" w:eastAsia="Courier New" w:hAnsi="Courier New"/>
          <w:sz w:val="16"/>
          <w:szCs w:val="16"/>
          <w:color w:val="auto"/>
        </w:rPr>
        <w:t>Lynch is a diversified public company traded on the American Stock Exchange. Its subsidiaries are engaged in communications, services, and manufactured products. Spinnaker, a subsidiary of Lynch, is also a public company and its stock is traded on the NASDAQ National Market. Spinnaker is a diversified manufacturing firm with major subsidiaries in specialty adhesive-backed materials business. Another of Lynch's subsidiaries, Western New Mexico, provides telephone services in a service area in Southwestern New Mexico. Inter-Community, which is also a subsidiary of Lynch, provides local telephone services in an area 40 miles west of Fargo, North Dakota. Lynch and Spinnaker actively pursue new business ventures and acquisitions. Lynch and its affiliates make investments in marketable securities to preserve capital and maintain liquidity for financing their business activities and acquisi-</w:t>
      </w:r>
    </w:p>
    <w:p>
      <w:pPr>
        <w:sectPr>
          <w:pgSz w:w="11900" w:h="16838" w:orient="portrait"/>
          <w:cols w:equalWidth="0" w:num="1">
            <w:col w:w="10139"/>
          </w:cols>
          <w:pgMar w:left="320" w:top="142" w:right="1440" w:bottom="0" w:gutter="0" w:footer="0" w:header="0"/>
        </w:sectPr>
      </w:pPr>
    </w:p>
    <w:bookmarkStart w:id="10" w:name="page11"/>
    <w:bookmarkEnd w:id="10"/>
    <w:p>
      <w:pPr>
        <w:ind w:right="2559"/>
        <w:spacing w:after="0" w:line="237" w:lineRule="auto"/>
        <w:rPr>
          <w:sz w:val="20"/>
          <w:szCs w:val="20"/>
          <w:color w:val="auto"/>
        </w:rPr>
      </w:pPr>
      <w:r>
        <w:rPr>
          <w:rFonts w:ascii="Courier New" w:cs="Courier New" w:eastAsia="Courier New" w:hAnsi="Courier New"/>
          <w:sz w:val="18"/>
          <w:szCs w:val="18"/>
          <w:color w:val="auto"/>
        </w:rPr>
        <w:t>tions (not in the case of Western New Mexico) and are not engaged in the business of investing, reinvesting, or trading in securities. Mario Gabelli is Chairman of Lynch and beneficially owns approximately 23% of the shares of common stock of Lynch.</w:t>
      </w:r>
    </w:p>
    <w:p>
      <w:pPr>
        <w:spacing w:after="0" w:line="5"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Mario Gabelli is the majority stockholder and Chairman of the Board of Directors and Chief Executive Officer of Gabelli Partners and GAMI, and the Chief Investment Officer for each of the Reporting Persons which are entities other than Gemini. Gabelli Partners is the majority shareholder of GAMI. GAMI, in turn, is the sole stockholder of GAMCO. GAMI is also the majority stockholder of GSI and the largest shareholder of Gabelli Advisers. Gabelli &amp; Company is a wholly-owned subsidiary of GSI. GLI is a wholly-owned subsidiary of GSI. Marc Gabelli is the majority stockholder of Gemini.</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Reporting Persons do not admit that they constitute a</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5" w:lineRule="exact"/>
        <w:rPr>
          <w:sz w:val="20"/>
          <w:szCs w:val="20"/>
          <w:color w:val="auto"/>
        </w:rPr>
      </w:pPr>
    </w:p>
    <w:p>
      <w:pPr>
        <w:ind w:right="2559" w:firstLine="1053"/>
        <w:spacing w:after="0" w:line="268" w:lineRule="auto"/>
        <w:rPr>
          <w:sz w:val="20"/>
          <w:szCs w:val="20"/>
          <w:color w:val="auto"/>
        </w:rPr>
      </w:pPr>
      <w:r>
        <w:rPr>
          <w:rFonts w:ascii="Courier New" w:cs="Courier New" w:eastAsia="Courier New" w:hAnsi="Courier New"/>
          <w:sz w:val="16"/>
          <w:szCs w:val="16"/>
          <w:color w:val="auto"/>
        </w:rPr>
        <w:t>Gabelli Partners, GAMI, GAMCO, Gabelli &amp; Company and GLI are New 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and GGP L.P. are Delaware limited partner-ships each having its principal business office at One Corporate Center, Rye, New York 10580. GAL and GIL are corporations organized under the laws of the British Virgin Islands, and GGP Ltd. is a corporation organized under the laws of the Cayman Islands, each having its principal business office at c/o MeesPierson (Cayman) Limited, British American Centre, Dr. Roy's Drive-Phase 3, George Town, Grand Cayman, British West Indies. GIL II is a corporation organized under the laws of the British Virgin Islands having its principal business office at c/o Coutts &amp; Company (Cayman) Limited, West Bay Road, Grand Cayman, British West Indies. Gemini is a Bermuda corporation having its principal business office at c/o Appleby, Spurling &amp; Kempe, Cedar House, 41 Cedar Avenue, Hamilton HM12, Bermuda. LDC is a corporation organized under the laws of the British Virgin Islands having its pricipal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at 401 Theodore Fremd Avenue, Rye, NY 10580. Spinnaker is a Delaware corporation having its principal business office at 251 Welton Street, Hamden, CT 06511.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6" w:lineRule="exact"/>
        <w:rPr>
          <w:sz w:val="20"/>
          <w:szCs w:val="20"/>
          <w:color w:val="auto"/>
        </w:rPr>
      </w:pPr>
    </w:p>
    <w:p>
      <w:pPr>
        <w:ind w:right="4859" w:firstLine="534"/>
        <w:spacing w:after="0" w:line="235"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 Item 4. Purpose of Transaction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to Schedule 13D is amended, in pertinent part,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follows:</w:t>
      </w:r>
    </w:p>
    <w:p>
      <w:pPr>
        <w:spacing w:after="0" w:line="4" w:lineRule="exact"/>
        <w:rPr>
          <w:rFonts w:ascii="Courier New" w:cs="Courier New" w:eastAsia="Courier New" w:hAnsi="Courier New"/>
          <w:sz w:val="18"/>
          <w:szCs w:val="18"/>
          <w:color w:val="auto"/>
        </w:rPr>
      </w:pPr>
    </w:p>
    <w:p>
      <w:pPr>
        <w:ind w:right="3079" w:firstLine="10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January 6, 2000, Mario Gabelli sent an open letter to Michael O. Maffie, the President and Chief Executive Officer of the Issuer. A copy of the letter is attached hereto as an Exhibit.</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Item 5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5" w:lineRule="exact"/>
        <w:rPr>
          <w:sz w:val="20"/>
          <w:szCs w:val="20"/>
          <w:color w:val="auto"/>
        </w:rPr>
      </w:pPr>
    </w:p>
    <w:p>
      <w:pPr>
        <w:ind w:right="2659" w:firstLine="1061"/>
        <w:spacing w:after="0" w:line="273" w:lineRule="auto"/>
        <w:tabs>
          <w:tab w:leader="none" w:pos="157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percentage of Securities to which this Schedule 13D relates is 3,052,883 shares, representing 9.89% of the 30,869,370 shares outstanding as reported in the Issuer's most recently filed Form 10-Q for the quarter ended September 30, 1999. The Reporting Persons beneficially own those Securities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420" w:type="dxa"/>
            <w:vAlign w:val="bottom"/>
          </w:tcPr>
          <w:p>
            <w:pPr>
              <w:ind w:left="880"/>
              <w:spacing w:after="0"/>
              <w:rPr>
                <w:sz w:val="20"/>
                <w:szCs w:val="20"/>
                <w:color w:val="auto"/>
              </w:rPr>
            </w:pPr>
            <w:r>
              <w:rPr>
                <w:rFonts w:ascii="Courier New" w:cs="Courier New" w:eastAsia="Courier New" w:hAnsi="Courier New"/>
                <w:sz w:val="18"/>
                <w:szCs w:val="18"/>
                <w:color w:val="auto"/>
              </w:rPr>
              <w:t>Shares of</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 of</w:t>
            </w:r>
          </w:p>
        </w:tc>
      </w:tr>
      <w:tr>
        <w:trPr>
          <w:trHeight w:val="203"/>
        </w:trPr>
        <w:tc>
          <w:tcPr>
            <w:tcW w:w="2280" w:type="dxa"/>
            <w:vAlign w:val="bottom"/>
          </w:tcPr>
          <w:p>
            <w:pPr>
              <w:spacing w:after="0"/>
              <w:rPr>
                <w:sz w:val="17"/>
                <w:szCs w:val="17"/>
                <w:color w:val="auto"/>
              </w:rPr>
            </w:pP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Common</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Class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Gabelli Funds:</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Principal</w:t>
            </w:r>
          </w:p>
        </w:tc>
        <w:tc>
          <w:tcPr>
            <w:tcW w:w="2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Agent</w:t>
            </w:r>
          </w:p>
        </w:tc>
        <w:tc>
          <w:tcPr>
            <w:tcW w:w="2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894,000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GAMCO:</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Principal</w:t>
            </w:r>
          </w:p>
        </w:tc>
        <w:tc>
          <w:tcPr>
            <w:tcW w:w="2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2"/>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Agent</w:t>
            </w:r>
          </w:p>
        </w:tc>
        <w:tc>
          <w:tcPr>
            <w:tcW w:w="2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2,081,983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w:t>
            </w:r>
          </w:p>
        </w:tc>
      </w:tr>
    </w:tbl>
    <w:p>
      <w:pPr>
        <w:sectPr>
          <w:pgSz w:w="11900" w:h="16838" w:orient="portrait"/>
          <w:cols w:equalWidth="0" w:num="1">
            <w:col w:w="10139"/>
          </w:cols>
          <w:pgMar w:left="320" w:top="14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GSI</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2,500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LDC</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GAF</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38,400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0.12%</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GAL</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23,000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0.07%</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Foundation</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11,000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Marc Gabelli</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Mario Gabelli</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r>
    </w:tbl>
    <w:p>
      <w:pPr>
        <w:spacing w:after="0" w:line="200" w:lineRule="exact"/>
        <w:rPr>
          <w:sz w:val="20"/>
          <w:szCs w:val="20"/>
          <w:color w:val="auto"/>
        </w:rPr>
      </w:pPr>
    </w:p>
    <w:p>
      <w:pPr>
        <w:spacing w:after="0" w:line="209" w:lineRule="exact"/>
        <w:rPr>
          <w:sz w:val="20"/>
          <w:szCs w:val="20"/>
          <w:color w:val="auto"/>
        </w:rPr>
      </w:pPr>
    </w:p>
    <w:p>
      <w:pPr>
        <w:ind w:right="2559" w:firstLine="1053"/>
        <w:spacing w:after="0" w:line="237" w:lineRule="auto"/>
        <w:rPr>
          <w:sz w:val="20"/>
          <w:szCs w:val="20"/>
          <w:color w:val="auto"/>
        </w:rPr>
      </w:pPr>
      <w:r>
        <w:rPr>
          <w:rFonts w:ascii="Courier New" w:cs="Courier New" w:eastAsia="Courier New" w:hAnsi="Courier New"/>
          <w:sz w:val="18"/>
          <w:szCs w:val="18"/>
          <w:color w:val="auto"/>
        </w:rPr>
        <w:t>Mario Gabelli is deemed to have beneficial ownership of the Securities beneficially owned by each of the foregoing persons other than Marc Gabelli. Gabelli Partners and GAMI are deemed to have beneficial ownership of the Securities beneficially owned by each of the foregoing persons other than Mario Gabelli, Marc Gabelli and the Foundation.</w:t>
      </w:r>
    </w:p>
    <w:p>
      <w:pPr>
        <w:spacing w:after="0" w:line="7" w:lineRule="exact"/>
        <w:rPr>
          <w:sz w:val="20"/>
          <w:szCs w:val="20"/>
          <w:color w:val="auto"/>
        </w:rPr>
      </w:pPr>
    </w:p>
    <w:p>
      <w:pPr>
        <w:ind w:right="2559" w:firstLine="1061"/>
        <w:spacing w:after="0" w:line="238" w:lineRule="auto"/>
        <w:tabs>
          <w:tab w:leader="none" w:pos="147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87,000 of the reported shares, (ii) Gabelli Funds has sole dispositive and voting power with respect to the shares of the Issuer held by the the Funds, so long as the aggregate voting interest of all joint filers does not exceed 25% of their total voting interest in the Issuer and in that event, the Proxy Voting Committee of each of the Funds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(iv) the power of Mario Gabelli, Marc Gabelli, Gabelli Partners and GAMI is indirect with respect to Securities beneficially owned directly by other Reporting Persons.</w:t>
      </w:r>
    </w:p>
    <w:p>
      <w:pPr>
        <w:spacing w:after="0" w:line="4" w:lineRule="exact"/>
        <w:rPr>
          <w:rFonts w:ascii="Courier New" w:cs="Courier New" w:eastAsia="Courier New" w:hAnsi="Courier New"/>
          <w:sz w:val="18"/>
          <w:szCs w:val="18"/>
          <w:color w:val="auto"/>
        </w:rPr>
      </w:pPr>
    </w:p>
    <w:p>
      <w:pPr>
        <w:ind w:right="2759" w:firstLine="1061"/>
        <w:spacing w:after="0" w:line="237" w:lineRule="auto"/>
        <w:tabs>
          <w:tab w:leader="none" w:pos="147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7.</w:t>
      </w:r>
      <w:r>
        <w:rPr>
          <w:rFonts w:ascii="Courier New" w:cs="Courier New" w:eastAsia="Courier New" w:hAnsi="Courier New"/>
          <w:sz w:val="16"/>
          <w:szCs w:val="16"/>
          <w:color w:val="auto"/>
        </w:rPr>
        <w:t>Material to be Filed as an Exhibit.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 C is attached hereto.</w:t>
      </w:r>
    </w:p>
    <w:p>
      <w:pPr>
        <w:spacing w:after="0" w:line="207" w:lineRule="exact"/>
        <w:rPr>
          <w:sz w:val="20"/>
          <w:szCs w:val="20"/>
          <w:color w:val="auto"/>
        </w:rPr>
      </w:pPr>
    </w:p>
    <w:p>
      <w:pPr>
        <w:ind w:left="2420" w:right="2859" w:hanging="1263"/>
        <w:spacing w:after="0" w:line="235" w:lineRule="auto"/>
        <w:tabs>
          <w:tab w:leader="none" w:pos="2400" w:val="left"/>
        </w:tabs>
        <w:rPr>
          <w:sz w:val="20"/>
          <w:szCs w:val="20"/>
          <w:color w:val="auto"/>
        </w:rPr>
      </w:pPr>
      <w:r>
        <w:rPr>
          <w:rFonts w:ascii="Courier New" w:cs="Courier New" w:eastAsia="Courier New" w:hAnsi="Courier New"/>
          <w:sz w:val="18"/>
          <w:szCs w:val="18"/>
          <w:color w:val="auto"/>
        </w:rPr>
        <w:t>Exhibit D:</w:t>
        <w:tab/>
        <w:t>Letter from GAMCO to Southwest Gas Corporation dated January 7,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7, 2000</w:t>
      </w:r>
    </w:p>
    <w:p>
      <w:pPr>
        <w:ind w:left="3700"/>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James E. McKee</w:t>
      </w:r>
    </w:p>
    <w:p>
      <w:pPr>
        <w:ind w:left="400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James E. McKee</w:t>
      </w:r>
    </w:p>
    <w:p>
      <w:pPr>
        <w:ind w:left="40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GABELLI GROUP CAPITAL PARTNERS, INC.</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James E. McKee</w:t>
      </w:r>
    </w:p>
    <w:p>
      <w:pPr>
        <w:ind w:left="400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GAMCO INVESTORS, INC.</w:t>
      </w:r>
    </w:p>
    <w:p>
      <w:pPr>
        <w:sectPr>
          <w:pgSz w:w="11900" w:h="16838" w:orient="portrait"/>
          <w:cols w:equalWidth="0" w:num="1">
            <w:col w:w="10139"/>
          </w:cols>
          <w:pgMar w:left="320" w:top="339" w:right="1440" w:bottom="138"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By:_________________________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Douglas R. Jamieson</w:t>
      </w:r>
    </w:p>
    <w:p>
      <w:pPr>
        <w:ind w:left="400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GABELLI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James E. McKee</w:t>
      </w:r>
    </w:p>
    <w:p>
      <w:pPr>
        <w:ind w:left="400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GABELLI ASSOCIATES FUND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Gabelli Securities, Inc.</w:t>
      </w:r>
    </w:p>
    <w:p>
      <w:pPr>
        <w:ind w:left="4000"/>
        <w:spacing w:after="0" w:line="238" w:lineRule="auto"/>
        <w:rPr>
          <w:sz w:val="20"/>
          <w:szCs w:val="20"/>
          <w:color w:val="auto"/>
        </w:rPr>
      </w:pPr>
      <w:r>
        <w:rPr>
          <w:rFonts w:ascii="Courier New" w:cs="Courier New" w:eastAsia="Courier New" w:hAnsi="Courier New"/>
          <w:sz w:val="18"/>
          <w:szCs w:val="18"/>
          <w:color w:val="auto"/>
        </w:rPr>
        <w:t>General Partner</w:t>
      </w:r>
    </w:p>
    <w:p>
      <w:pPr>
        <w:ind w:left="4000"/>
        <w:spacing w:after="0"/>
        <w:rPr>
          <w:sz w:val="20"/>
          <w:szCs w:val="20"/>
          <w:color w:val="auto"/>
        </w:rPr>
      </w:pPr>
      <w:r>
        <w:rPr>
          <w:rFonts w:ascii="Courier New" w:cs="Courier New" w:eastAsia="Courier New" w:hAnsi="Courier New"/>
          <w:sz w:val="18"/>
          <w:szCs w:val="18"/>
          <w:color w:val="auto"/>
        </w:rPr>
        <w:t>by: James E. McKee</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GABELLI ASSOCIATES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Gabelli Securities, Inc.</w:t>
      </w:r>
    </w:p>
    <w:p>
      <w:pPr>
        <w:ind w:left="4000"/>
        <w:spacing w:after="0" w:line="238" w:lineRule="auto"/>
        <w:rPr>
          <w:sz w:val="20"/>
          <w:szCs w:val="20"/>
          <w:color w:val="auto"/>
        </w:rPr>
      </w:pPr>
      <w:r>
        <w:rPr>
          <w:rFonts w:ascii="Courier New" w:cs="Courier New" w:eastAsia="Courier New" w:hAnsi="Courier New"/>
          <w:sz w:val="18"/>
          <w:szCs w:val="18"/>
          <w:color w:val="auto"/>
        </w:rPr>
        <w:t>Investment Manager</w:t>
      </w:r>
    </w:p>
    <w:p>
      <w:pPr>
        <w:ind w:left="4000"/>
        <w:spacing w:after="0"/>
        <w:rPr>
          <w:sz w:val="20"/>
          <w:szCs w:val="20"/>
          <w:color w:val="auto"/>
        </w:rPr>
      </w:pPr>
      <w:r>
        <w:rPr>
          <w:rFonts w:ascii="Courier New" w:cs="Courier New" w:eastAsia="Courier New" w:hAnsi="Courier New"/>
          <w:sz w:val="18"/>
          <w:szCs w:val="18"/>
          <w:color w:val="auto"/>
        </w:rPr>
        <w:t>by: James E. McKee</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 LDC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MJG Associates, Inc.</w:t>
      </w:r>
    </w:p>
    <w:p>
      <w:pPr>
        <w:ind w:left="4000"/>
        <w:spacing w:after="0" w:line="238" w:lineRule="auto"/>
        <w:rPr>
          <w:sz w:val="20"/>
          <w:szCs w:val="20"/>
          <w:color w:val="auto"/>
        </w:rPr>
      </w:pPr>
      <w:r>
        <w:rPr>
          <w:rFonts w:ascii="Courier New" w:cs="Courier New" w:eastAsia="Courier New" w:hAnsi="Courier New"/>
          <w:sz w:val="18"/>
          <w:szCs w:val="18"/>
          <w:color w:val="auto"/>
        </w:rPr>
        <w:t>Investment Manager</w:t>
      </w:r>
    </w:p>
    <w:p>
      <w:pPr>
        <w:ind w:left="4000"/>
        <w:spacing w:after="0"/>
        <w:rPr>
          <w:sz w:val="20"/>
          <w:szCs w:val="20"/>
          <w:color w:val="auto"/>
        </w:rPr>
      </w:pPr>
      <w:r>
        <w:rPr>
          <w:rFonts w:ascii="Courier New" w:cs="Courier New" w:eastAsia="Courier New" w:hAnsi="Courier New"/>
          <w:sz w:val="18"/>
          <w:szCs w:val="18"/>
          <w:color w:val="auto"/>
        </w:rPr>
        <w:t>by: Mario J. Gabelli</w:t>
      </w:r>
    </w:p>
    <w:p>
      <w:pPr>
        <w:jc w:val="center"/>
        <w:ind w:right="339"/>
        <w:spacing w:after="0" w:line="237" w:lineRule="auto"/>
        <w:rPr>
          <w:sz w:val="20"/>
          <w:szCs w:val="20"/>
          <w:color w:val="auto"/>
        </w:rPr>
      </w:pPr>
      <w:r>
        <w:rPr>
          <w:rFonts w:ascii="Courier New" w:cs="Courier New" w:eastAsia="Courier New" w:hAnsi="Courier New"/>
          <w:sz w:val="18"/>
          <w:szCs w:val="18"/>
          <w:color w:val="auto"/>
        </w:rPr>
        <w:t>President</w:t>
      </w:r>
    </w:p>
    <w:p>
      <w:pPr>
        <w:ind w:left="4000"/>
        <w:spacing w:after="0" w:line="238" w:lineRule="auto"/>
        <w:rPr>
          <w:sz w:val="20"/>
          <w:szCs w:val="20"/>
          <w:color w:val="auto"/>
        </w:rPr>
      </w:pPr>
      <w:r>
        <w:rPr>
          <w:rFonts w:ascii="Courier New" w:cs="Courier New" w:eastAsia="Courier New" w:hAnsi="Courier New"/>
          <w:sz w:val="18"/>
          <w:szCs w:val="18"/>
          <w:color w:val="auto"/>
        </w:rPr>
        <w:t>by: James E. McKee</w:t>
      </w:r>
    </w:p>
    <w:p>
      <w:pPr>
        <w:ind w:left="44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James E. McKee</w:t>
      </w:r>
    </w:p>
    <w:p>
      <w:pPr>
        <w:ind w:left="400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GABELLI FOUNDATION,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w:t>
      </w:r>
    </w:p>
    <w:p>
      <w:pPr>
        <w:ind w:left="4000"/>
        <w:spacing w:after="0" w:line="238" w:lineRule="auto"/>
        <w:rPr>
          <w:sz w:val="20"/>
          <w:szCs w:val="20"/>
          <w:color w:val="auto"/>
        </w:rPr>
      </w:pPr>
      <w:r>
        <w:rPr>
          <w:rFonts w:ascii="Courier New" w:cs="Courier New" w:eastAsia="Courier New" w:hAnsi="Courier New"/>
          <w:sz w:val="18"/>
          <w:szCs w:val="18"/>
          <w:color w:val="auto"/>
        </w:rPr>
        <w:t>Mario J. Gabelli, President</w:t>
      </w:r>
    </w:p>
    <w:p>
      <w:pPr>
        <w:ind w:left="4000"/>
        <w:spacing w:after="0" w:line="238" w:lineRule="auto"/>
        <w:rPr>
          <w:sz w:val="20"/>
          <w:szCs w:val="20"/>
          <w:color w:val="auto"/>
        </w:rPr>
      </w:pPr>
      <w:r>
        <w:rPr>
          <w:rFonts w:ascii="Courier New" w:cs="Courier New" w:eastAsia="Courier New" w:hAnsi="Courier New"/>
          <w:sz w:val="18"/>
          <w:szCs w:val="18"/>
          <w:color w:val="auto"/>
        </w:rPr>
        <w:t>By: James E. McKee</w:t>
      </w:r>
    </w:p>
    <w:p>
      <w:pPr>
        <w:ind w:left="40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Information with Respect to Executive</w:t>
      </w:r>
    </w:p>
    <w:p>
      <w:pPr>
        <w:jc w:val="center"/>
        <w:ind w:right="3279"/>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I to Schedule 13D is amended, in pertinent part,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4" w:lineRule="exact"/>
        <w:rPr>
          <w:sz w:val="20"/>
          <w:szCs w:val="20"/>
          <w:color w:val="auto"/>
        </w:rPr>
      </w:pPr>
    </w:p>
    <w:p>
      <w:pPr>
        <w:ind w:right="2659" w:firstLine="1053"/>
        <w:spacing w:after="0" w:line="275"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and his present principal occupation or employment and the name, principal business and address of any corporation or other organization in which</w:t>
      </w:r>
    </w:p>
    <w:p>
      <w:pPr>
        <w:sectPr>
          <w:pgSz w:w="11900" w:h="16838" w:orient="portrait"/>
          <w:cols w:equalWidth="0" w:num="1">
            <w:col w:w="10139"/>
          </w:cols>
          <w:pgMar w:left="320" w:top="136" w:right="1440" w:bottom="0" w:gutter="0" w:footer="0" w:header="0"/>
        </w:sectPr>
      </w:pPr>
    </w:p>
    <w:bookmarkStart w:id="13" w:name="page14"/>
    <w:bookmarkEnd w:id="13"/>
    <w:p>
      <w:pPr>
        <w:ind w:right="2559"/>
        <w:spacing w:after="0" w:line="269" w:lineRule="auto"/>
        <w:rPr>
          <w:sz w:val="20"/>
          <w:szCs w:val="20"/>
          <w:color w:val="auto"/>
        </w:rPr>
      </w:pPr>
      <w:r>
        <w:rPr>
          <w:rFonts w:ascii="Courier New" w:cs="Courier New" w:eastAsia="Courier New" w:hAnsi="Courier New"/>
          <w:sz w:val="16"/>
          <w:szCs w:val="16"/>
          <w:color w:val="auto"/>
        </w:rPr>
        <w:t>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ectPr>
          <w:pgSz w:w="11900" w:h="16838" w:orient="portrait"/>
          <w:cols w:equalWidth="0" w:num="1">
            <w:col w:w="10139"/>
          </w:cols>
          <w:pgMar w:left="320" w:top="1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Richard B. Black</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President and Director of</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Oak Technology,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Chairman ECRM; Director</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The Morgan Group, Inc.;</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General Partner of KBA Part-</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ners, Parker Plaza</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400 Kelby Street,</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Fort Lee, NJ 07029</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Charles C. Baum</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Chairman, Director and Chief Execu-</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tive Officer of The Morgan Group,</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 Secretary &amp; Treasurer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United Holdings</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2545 Wilkens Avenue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Baltimore, MD  21223</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Dr. Eamon M. Kelly</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Professor</w:t>
            </w:r>
          </w:p>
        </w:tc>
        <w:tc>
          <w:tcPr>
            <w:tcW w:w="19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Payson Center for International</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Development Technology Transfer</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Tulane University</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300 Hebert Hall</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6823 St. Charles</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Avenue</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New Orleans, LA</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70118</w:t>
            </w: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w w:val="95"/>
              </w:rPr>
              <w:t>Managing Director</w:t>
            </w:r>
          </w:p>
        </w:tc>
        <w:tc>
          <w:tcPr>
            <w:tcW w:w="1900" w:type="dxa"/>
            <w:vAlign w:val="bottom"/>
          </w:tcPr>
          <w:p>
            <w:pPr>
              <w:spacing w:after="0"/>
              <w:rPr>
                <w:sz w:val="24"/>
                <w:szCs w:val="24"/>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Matthew R. Gabelli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Vice President-Trading</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Gabelli &amp; Company</w:t>
            </w:r>
          </w:p>
        </w:tc>
        <w:tc>
          <w:tcPr>
            <w:tcW w:w="19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Rye, New York 10580</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Chief Executive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Officer and Chief Investment</w:t>
            </w: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Officer</w:t>
            </w:r>
          </w:p>
        </w:tc>
        <w:tc>
          <w:tcPr>
            <w:tcW w:w="1900" w:type="dxa"/>
            <w:vAlign w:val="bottom"/>
          </w:tcPr>
          <w:p>
            <w:pPr>
              <w:spacing w:after="0"/>
              <w:rPr>
                <w:sz w:val="17"/>
                <w:szCs w:val="17"/>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4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Executive Vice President-Finance</w:t>
            </w:r>
          </w:p>
        </w:tc>
      </w:tr>
      <w:tr>
        <w:trPr>
          <w:trHeight w:val="203"/>
        </w:trPr>
        <w:tc>
          <w:tcPr>
            <w:tcW w:w="3060" w:type="dxa"/>
            <w:vAlign w:val="bottom"/>
          </w:tcPr>
          <w:p>
            <w:pPr>
              <w:spacing w:after="0"/>
              <w:rPr>
                <w:sz w:val="17"/>
                <w:szCs w:val="17"/>
                <w:color w:val="auto"/>
              </w:rPr>
            </w:pPr>
          </w:p>
        </w:tc>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Administration</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w:t>
            </w: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7" w:lineRule="exact"/>
        <w:rPr>
          <w:sz w:val="20"/>
          <w:szCs w:val="20"/>
          <w:color w:val="auto"/>
        </w:rPr>
      </w:pPr>
    </w:p>
    <w:p>
      <w:pPr>
        <w:ind w:right="2659" w:firstLine="534"/>
        <w:spacing w:after="0" w:line="237" w:lineRule="auto"/>
        <w:tabs>
          <w:tab w:leader="none" w:pos="105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Gabelli is the Chief Executive Officer and Chief Invest-ment Officer of Gabelli Group Capital Partners, Inc., Gabelli Asset Management Inc. and GAMCO Investors, Inc.; Director/Trustee of all registered investment companies advised by Gabelli Funds, LLC; Chairman and Chief Executive Officer of Lynch Corporation; Director of East/West Communications, Inc.</w:t>
      </w:r>
    </w:p>
    <w:p>
      <w:pPr>
        <w:sectPr>
          <w:pgSz w:w="11900" w:h="16838" w:orient="portrait"/>
          <w:cols w:equalWidth="0" w:num="1">
            <w:col w:w="10139"/>
          </w:cols>
          <w:pgMar w:left="320" w:top="514" w:right="1440" w:bottom="1440" w:gutter="0" w:footer="0" w:header="0"/>
        </w:sectPr>
      </w:pPr>
    </w:p>
    <w:bookmarkStart w:id="15" w:name="page16"/>
    <w:bookmarkEnd w:id="15"/>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S. ZuccaroVice President and Chief Financial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Officer</w:t>
      </w:r>
    </w:p>
    <w:p>
      <w:pPr>
        <w:sectPr>
          <w:pgSz w:w="11900" w:h="16899" w:orient="portrait"/>
          <w:cols w:equalWidth="0" w:num="1">
            <w:col w:w="10139"/>
          </w:cols>
          <w:pgMar w:left="320" w:top="520"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Asset Management Inc.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99" w:orient="portrait"/>
          <w:cols w:equalWidth="0" w:num="1">
            <w:col w:w="10139"/>
          </w:cols>
          <w:pgMar w:left="32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Richard B. Black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Charles C. Baum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right="560"/>
        <w:spacing w:after="0" w:line="804" w:lineRule="auto"/>
        <w:rPr>
          <w:sz w:val="20"/>
          <w:szCs w:val="20"/>
          <w:color w:val="auto"/>
        </w:rPr>
      </w:pPr>
      <w:r>
        <w:rPr>
          <w:rFonts w:ascii="Courier New" w:cs="Courier New" w:eastAsia="Courier New" w:hAnsi="Courier New"/>
          <w:sz w:val="16"/>
          <w:szCs w:val="16"/>
          <w:color w:val="auto"/>
        </w:rPr>
        <w:t>John C. Ferrara Dr. Eamon M. Kelly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Space.Com</w:t>
      </w:r>
    </w:p>
    <w:p>
      <w:pPr>
        <w:spacing w:after="0" w:line="238" w:lineRule="auto"/>
        <w:rPr>
          <w:sz w:val="20"/>
          <w:szCs w:val="20"/>
          <w:color w:val="auto"/>
        </w:rPr>
      </w:pPr>
      <w:r>
        <w:rPr>
          <w:rFonts w:ascii="Courier New" w:cs="Courier New" w:eastAsia="Courier New" w:hAnsi="Courier New"/>
          <w:sz w:val="18"/>
          <w:szCs w:val="18"/>
          <w:color w:val="auto"/>
        </w:rPr>
        <w:t>120 West 45th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7"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Karl Otto Pohl (1)</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Courier New" w:cs="Courier New" w:eastAsia="Courier New" w:hAnsi="Courier New"/>
          <w:sz w:val="18"/>
          <w:szCs w:val="18"/>
          <w:color w:val="auto"/>
        </w:rPr>
        <w:t>Sal Oppenheim Jr. &amp; Cie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Bockenheimer Landstrasse 20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D-6000 FRANKFURT AM MAIN</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99" w:orient="portrait"/>
          <w:cols w:equalWidth="0" w:num="1">
            <w:col w:w="10139"/>
          </w:cols>
          <w:pgMar w:left="320" w:top="520"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and Chief Investment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Adminstration</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 Zuccaro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Mario J. Gabelli</w:t>
      </w:r>
    </w:p>
    <w:p>
      <w:pPr>
        <w:ind w:left="540"/>
        <w:spacing w:after="0" w:line="238" w:lineRule="auto"/>
        <w:rPr>
          <w:sz w:val="20"/>
          <w:szCs w:val="20"/>
          <w:color w:val="auto"/>
        </w:rPr>
      </w:pPr>
      <w:r>
        <w:rPr>
          <w:rFonts w:ascii="Courier New" w:cs="Courier New" w:eastAsia="Courier New" w:hAnsi="Courier New"/>
          <w:sz w:val="18"/>
          <w:szCs w:val="18"/>
          <w:color w:val="auto"/>
        </w:rPr>
        <w:t>Douglas R. Jamieson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Regina M. Pitaro</w:t>
      </w:r>
    </w:p>
    <w:p>
      <w:pPr>
        <w:ind w:left="540"/>
        <w:spacing w:after="0" w:line="238" w:lineRule="auto"/>
        <w:rPr>
          <w:sz w:val="20"/>
          <w:szCs w:val="20"/>
          <w:color w:val="auto"/>
        </w:rPr>
      </w:pPr>
      <w:r>
        <w:rPr>
          <w:rFonts w:ascii="Courier New" w:cs="Courier New" w:eastAsia="Courier New" w:hAnsi="Courier New"/>
          <w:sz w:val="18"/>
          <w:szCs w:val="18"/>
          <w:color w:val="auto"/>
        </w:rPr>
        <w:t>F. William Scholz,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99" w:orient="portrait"/>
          <w:cols w:equalWidth="0" w:num="1">
            <w:col w:w="10139"/>
          </w:cols>
          <w:pgMar w:left="32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Investment 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Douglas R. Jamieson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S. Zuccaro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Peter D. Goldstein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Deputy General Counsel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Gabelli Funds, LLC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99" w:orient="portrait"/>
          <w:cols w:equalWidth="0" w:num="1">
            <w:col w:w="10139"/>
          </w:cols>
          <w:pgMar w:left="320" w:top="520"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Investment Officer</w:t>
      </w:r>
    </w:p>
    <w:p>
      <w:pPr>
        <w:spacing w:after="0" w:line="200" w:lineRule="exact"/>
        <w:rPr>
          <w:sz w:val="20"/>
          <w:szCs w:val="20"/>
          <w:color w:val="auto"/>
        </w:rPr>
      </w:pPr>
    </w:p>
    <w:p>
      <w:pPr>
        <w:sectPr>
          <w:pgSz w:w="11900" w:h="16899" w:orient="portrait"/>
          <w:cols w:equalWidth="0" w:num="2">
            <w:col w:w="2980" w:space="720"/>
            <w:col w:w="6439"/>
          </w:cols>
          <w:pgMar w:left="320" w:top="52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Bruce N. Alpert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w:t>
      </w:r>
    </w:p>
    <w:p>
      <w:pPr>
        <w:sectPr>
          <w:pgSz w:w="11900" w:h="16899" w:orient="portrait"/>
          <w:cols w:equalWidth="0" w:num="2">
            <w:col w:w="2980" w:space="720"/>
            <w:col w:w="6439"/>
          </w:cols>
          <w:pgMar w:left="320" w:top="520" w:right="1440"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Chief Operating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Gus Coutsouros</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Vice President and Chief Financial</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21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Advisers,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John D. Gabelli</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Chief Operating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Securities,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W. Blake</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President of W.R. Blake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&amp; Sons, Inc.</w:t>
            </w:r>
          </w:p>
        </w:tc>
        <w:tc>
          <w:tcPr>
            <w:tcW w:w="2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196-20 Northern Boulevard</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Flushing, NY</w:t>
            </w:r>
          </w:p>
        </w:tc>
        <w:tc>
          <w:tcPr>
            <w:tcW w:w="21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11358</w:t>
            </w:r>
          </w:p>
        </w:tc>
      </w:tr>
      <w:tr>
        <w:trPr>
          <w:trHeight w:val="810"/>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Douglas G. DeVivo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General Partner of ALCE</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Partners, L.P.</w:t>
            </w:r>
          </w:p>
        </w:tc>
        <w:tc>
          <w:tcPr>
            <w:tcW w:w="2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First Street, Suite 16</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 Altos, CA</w:t>
            </w:r>
          </w:p>
        </w:tc>
        <w:tc>
          <w:tcPr>
            <w:tcW w:w="212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94022</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R. Rindler, Jr.</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above</w:t>
            </w: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S. Zuccaro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Vice President-Finance</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&amp; Company,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See above</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Donald C. Jenkins</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 of Research</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21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Bruce N. Alpert</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Vice President-Mutual Funds</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Walter K. Walsh</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Compliance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8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120" w:type="dxa"/>
            <w:vAlign w:val="bottom"/>
          </w:tcPr>
          <w:p>
            <w:pPr>
              <w:spacing w:after="0"/>
              <w:rPr>
                <w:sz w:val="24"/>
                <w:szCs w:val="24"/>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GLI, Inc.</w:t>
            </w:r>
          </w:p>
        </w:tc>
        <w:tc>
          <w:tcPr>
            <w:tcW w:w="18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2"/>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above-Gabelli Group Capital</w:t>
            </w:r>
          </w:p>
        </w:tc>
      </w:tr>
      <w:tr>
        <w:trPr>
          <w:trHeight w:val="203"/>
        </w:trPr>
        <w:tc>
          <w:tcPr>
            <w:tcW w:w="3280" w:type="dxa"/>
            <w:vAlign w:val="bottom"/>
          </w:tcPr>
          <w:p>
            <w:pPr>
              <w:spacing w:after="0"/>
              <w:rPr>
                <w:sz w:val="17"/>
                <w:szCs w:val="17"/>
                <w:color w:val="auto"/>
              </w:rPr>
            </w:pPr>
          </w:p>
        </w:tc>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Partners, Inc.</w:t>
            </w:r>
          </w:p>
        </w:tc>
        <w:tc>
          <w:tcPr>
            <w:tcW w:w="2120" w:type="dxa"/>
            <w:vAlign w:val="bottom"/>
          </w:tcPr>
          <w:p>
            <w:pPr>
              <w:spacing w:after="0"/>
              <w:rPr>
                <w:sz w:val="17"/>
                <w:szCs w:val="17"/>
                <w:color w:val="auto"/>
              </w:rPr>
            </w:pPr>
          </w:p>
        </w:tc>
      </w:tr>
      <w:tr>
        <w:trPr>
          <w:trHeight w:val="202"/>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188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Mario J. Gabelli</w:t>
            </w:r>
          </w:p>
        </w:tc>
        <w:tc>
          <w:tcPr>
            <w:tcW w:w="3740" w:type="dxa"/>
            <w:vAlign w:val="bottom"/>
          </w:tcPr>
          <w:p>
            <w:pPr>
              <w:ind w:left="480"/>
              <w:spacing w:after="0"/>
              <w:rPr>
                <w:sz w:val="20"/>
                <w:szCs w:val="20"/>
                <w:color w:val="auto"/>
              </w:rPr>
            </w:pPr>
            <w:r>
              <w:rPr>
                <w:rFonts w:ascii="Courier New" w:cs="Courier New" w:eastAsia="Courier New" w:hAnsi="Courier New"/>
                <w:sz w:val="18"/>
                <w:szCs w:val="18"/>
                <w:color w:val="auto"/>
              </w:rPr>
              <w:t>Chairman and Chief Investment</w:t>
            </w:r>
          </w:p>
        </w:tc>
      </w:tr>
      <w:tr>
        <w:trPr>
          <w:trHeight w:val="203"/>
        </w:trPr>
        <w:tc>
          <w:tcPr>
            <w:tcW w:w="3220" w:type="dxa"/>
            <w:vAlign w:val="bottom"/>
          </w:tcPr>
          <w:p>
            <w:pPr>
              <w:spacing w:after="0"/>
              <w:rPr>
                <w:sz w:val="17"/>
                <w:szCs w:val="17"/>
                <w:color w:val="auto"/>
              </w:rPr>
            </w:pPr>
          </w:p>
        </w:tc>
        <w:tc>
          <w:tcPr>
            <w:tcW w:w="3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32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Stephen G. Bondi</w:t>
            </w:r>
          </w:p>
        </w:tc>
        <w:tc>
          <w:tcPr>
            <w:tcW w:w="3740" w:type="dxa"/>
            <w:vAlign w:val="bottom"/>
          </w:tcPr>
          <w:p>
            <w:pPr>
              <w:ind w:left="48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22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Gabelli Associates Limited</w:t>
            </w:r>
          </w:p>
        </w:tc>
        <w:tc>
          <w:tcPr>
            <w:tcW w:w="374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3740" w:type="dxa"/>
            <w:vAlign w:val="bottom"/>
          </w:tcPr>
          <w:p>
            <w:pPr>
              <w:spacing w:after="0"/>
              <w:rPr>
                <w:sz w:val="24"/>
                <w:szCs w:val="24"/>
                <w:color w:val="auto"/>
              </w:rPr>
            </w:pPr>
          </w:p>
        </w:tc>
      </w:tr>
      <w:tr>
        <w:trPr>
          <w:trHeight w:val="405"/>
        </w:trPr>
        <w:tc>
          <w:tcPr>
            <w:tcW w:w="322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Mario J. Gabelli</w:t>
            </w:r>
          </w:p>
        </w:tc>
        <w:tc>
          <w:tcPr>
            <w:tcW w:w="3740" w:type="dxa"/>
            <w:vAlign w:val="bottom"/>
          </w:tcPr>
          <w:p>
            <w:pPr>
              <w:ind w:left="480"/>
              <w:spacing w:after="0"/>
              <w:rPr>
                <w:sz w:val="20"/>
                <w:szCs w:val="20"/>
                <w:color w:val="auto"/>
              </w:rPr>
            </w:pPr>
            <w:r>
              <w:rPr>
                <w:rFonts w:ascii="Courier New" w:cs="Courier New" w:eastAsia="Courier New" w:hAnsi="Courier New"/>
                <w:sz w:val="18"/>
                <w:szCs w:val="18"/>
                <w:color w:val="auto"/>
                <w:w w:val="96"/>
              </w:rPr>
              <w:t>See above-Gabelli Group Capital</w:t>
            </w:r>
          </w:p>
        </w:tc>
      </w:tr>
      <w:tr>
        <w:trPr>
          <w:trHeight w:val="203"/>
        </w:trPr>
        <w:tc>
          <w:tcPr>
            <w:tcW w:w="3220" w:type="dxa"/>
            <w:vAlign w:val="bottom"/>
          </w:tcPr>
          <w:p>
            <w:pPr>
              <w:spacing w:after="0"/>
              <w:rPr>
                <w:sz w:val="17"/>
                <w:szCs w:val="17"/>
                <w:color w:val="auto"/>
              </w:rPr>
            </w:pPr>
          </w:p>
        </w:tc>
        <w:tc>
          <w:tcPr>
            <w:tcW w:w="3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Partners,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Roger Hanson (2)</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MeesPierson</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(Cayman)</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4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Cayman Islands, British</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WestIndies</w:t>
            </w:r>
          </w:p>
        </w:tc>
        <w:tc>
          <w:tcPr>
            <w:tcW w:w="24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Chief Investment Officer</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Kevin Bromley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Sandra Wright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Gabelli International Limited</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Group Capital</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Partners, Inc.</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Roger Hanson (2)</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MeesPierson</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(Cayman)</w:t>
            </w:r>
          </w:p>
        </w:tc>
      </w:tr>
      <w:tr>
        <w:trPr>
          <w:trHeight w:val="203"/>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Limited</w:t>
            </w:r>
          </w:p>
        </w:tc>
        <w:tc>
          <w:tcPr>
            <w:tcW w:w="24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Kevin Bromley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Sandra Wright (2)</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2"/>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Gemini Capitial Management Ltd.</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Group Capital</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Partners, Inc.</w:t>
            </w: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See Above-Gabelli Group Capital</w:t>
            </w:r>
          </w:p>
        </w:tc>
      </w:tr>
      <w:tr>
        <w:trPr>
          <w:trHeight w:val="203"/>
        </w:trPr>
        <w:tc>
          <w:tcPr>
            <w:tcW w:w="3480" w:type="dxa"/>
            <w:vAlign w:val="bottom"/>
          </w:tcPr>
          <w:p>
            <w:pPr>
              <w:spacing w:after="0"/>
              <w:rPr>
                <w:sz w:val="17"/>
                <w:szCs w:val="17"/>
                <w:color w:val="auto"/>
              </w:rPr>
            </w:pPr>
          </w:p>
        </w:tc>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Partners, Inc.</w:t>
            </w:r>
          </w:p>
        </w:tc>
      </w:tr>
      <w:tr>
        <w:trPr>
          <w:trHeight w:val="608"/>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Michael A. Salatto</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Controller, Gabelli Securities,</w:t>
            </w:r>
          </w:p>
        </w:tc>
      </w:tr>
      <w:tr>
        <w:trPr>
          <w:trHeight w:val="202"/>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w:t>
            </w:r>
          </w:p>
        </w:tc>
        <w:tc>
          <w:tcPr>
            <w:tcW w:w="2420" w:type="dxa"/>
            <w:vAlign w:val="bottom"/>
          </w:tcPr>
          <w:p>
            <w:pPr>
              <w:spacing w:after="0"/>
              <w:rPr>
                <w:sz w:val="17"/>
                <w:szCs w:val="17"/>
                <w:color w:val="auto"/>
              </w:rPr>
            </w:pPr>
          </w:p>
        </w:tc>
      </w:tr>
      <w:tr>
        <w:trPr>
          <w:trHeight w:val="405"/>
        </w:trPr>
        <w:tc>
          <w:tcPr>
            <w:tcW w:w="3480" w:type="dxa"/>
            <w:vAlign w:val="bottom"/>
          </w:tcPr>
          <w:p>
            <w:pPr>
              <w:ind w:left="540"/>
              <w:spacing w:after="0"/>
              <w:rPr>
                <w:sz w:val="20"/>
                <w:szCs w:val="20"/>
                <w:color w:val="auto"/>
              </w:rPr>
            </w:pPr>
            <w:r>
              <w:rPr>
                <w:rFonts w:ascii="Courier New" w:cs="Courier New" w:eastAsia="Courier New" w:hAnsi="Courier New"/>
                <w:sz w:val="18"/>
                <w:szCs w:val="18"/>
                <w:color w:val="auto"/>
              </w:rPr>
              <w:t>Michael J. Burns (3)</w:t>
            </w:r>
          </w:p>
        </w:tc>
        <w:tc>
          <w:tcPr>
            <w:tcW w:w="3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Appleby, Spurling &amp; Kempe</w:t>
            </w:r>
          </w:p>
        </w:tc>
      </w:tr>
      <w:tr>
        <w:trPr>
          <w:trHeight w:val="202"/>
        </w:trPr>
        <w:tc>
          <w:tcPr>
            <w:tcW w:w="34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Cedar House</w:t>
            </w:r>
          </w:p>
        </w:tc>
        <w:tc>
          <w:tcPr>
            <w:tcW w:w="2420" w:type="dxa"/>
            <w:vAlign w:val="bottom"/>
          </w:tcPr>
          <w:p>
            <w:pPr>
              <w:spacing w:after="0"/>
              <w:rPr>
                <w:sz w:val="17"/>
                <w:szCs w:val="17"/>
                <w:color w:val="auto"/>
              </w:rPr>
            </w:pPr>
          </w:p>
        </w:tc>
      </w:tr>
    </w:tbl>
    <w:p>
      <w:pPr>
        <w:sectPr>
          <w:pgSz w:w="11900" w:h="16838" w:orient="portrait"/>
          <w:cols w:equalWidth="0" w:num="1">
            <w:col w:w="10139"/>
          </w:cols>
          <w:pgMar w:left="320" w:top="339"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41 Cedar Avenue</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Hamilton, HM12</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Bermuda</w:t>
            </w: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Douglas Molyneux (3)</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Appleby, Spurling &amp; Kempe</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Cedar House</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41 Cedar Avenue</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Hamilton, HM12</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Bermuda</w:t>
            </w:r>
          </w:p>
        </w:tc>
        <w:tc>
          <w:tcPr>
            <w:tcW w:w="158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Gabelli Fund, LDC</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Johann S. Wong (4)</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 Tremont (Bermuda)</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Limited</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Tremont House</w:t>
            </w:r>
          </w:p>
        </w:tc>
        <w:tc>
          <w:tcPr>
            <w:tcW w:w="1580" w:type="dxa"/>
            <w:vAlign w:val="bottom"/>
          </w:tcPr>
          <w:p>
            <w:pPr>
              <w:spacing w:after="0"/>
              <w:rPr>
                <w:sz w:val="17"/>
                <w:szCs w:val="17"/>
                <w:color w:val="auto"/>
              </w:rPr>
            </w:pPr>
          </w:p>
        </w:tc>
      </w:tr>
      <w:tr>
        <w:trPr>
          <w:trHeight w:val="202"/>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 Park Road</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Hamilton HM 11, Bermuda</w:t>
            </w: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Peter D. Anderson (5)</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Givens Hall Bank &amp; Trust</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Genesis Building</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 Box 2097</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Grand Cayman, Cayman Islands</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BWI3459498141</w:t>
            </w: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Karl Otto Pohl</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See above</w:t>
            </w:r>
          </w:p>
        </w:tc>
        <w:tc>
          <w:tcPr>
            <w:tcW w:w="1580" w:type="dxa"/>
            <w:vAlign w:val="bottom"/>
          </w:tcPr>
          <w:p>
            <w:pPr>
              <w:spacing w:after="0"/>
              <w:rPr>
                <w:sz w:val="24"/>
                <w:szCs w:val="24"/>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Anthonie C. van Ekris</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See below</w:t>
            </w:r>
          </w:p>
        </w:tc>
        <w:tc>
          <w:tcPr>
            <w:tcW w:w="1580" w:type="dxa"/>
            <w:vAlign w:val="bottom"/>
          </w:tcPr>
          <w:p>
            <w:pPr>
              <w:spacing w:after="0"/>
              <w:rPr>
                <w:sz w:val="24"/>
                <w:szCs w:val="24"/>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Gabelli Global Partners, Ltd.</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See above</w:t>
            </w:r>
          </w:p>
        </w:tc>
        <w:tc>
          <w:tcPr>
            <w:tcW w:w="1580" w:type="dxa"/>
            <w:vAlign w:val="bottom"/>
          </w:tcPr>
          <w:p>
            <w:pPr>
              <w:spacing w:after="0"/>
              <w:rPr>
                <w:sz w:val="24"/>
                <w:szCs w:val="24"/>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See above</w:t>
            </w:r>
          </w:p>
        </w:tc>
        <w:tc>
          <w:tcPr>
            <w:tcW w:w="1580" w:type="dxa"/>
            <w:vAlign w:val="bottom"/>
          </w:tcPr>
          <w:p>
            <w:pPr>
              <w:spacing w:after="0"/>
              <w:rPr>
                <w:sz w:val="24"/>
                <w:szCs w:val="24"/>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Patrick Salvisberg (6)</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Vice President</w:t>
            </w:r>
          </w:p>
        </w:tc>
        <w:tc>
          <w:tcPr>
            <w:tcW w:w="1580" w:type="dxa"/>
            <w:vAlign w:val="bottom"/>
          </w:tcPr>
          <w:p>
            <w:pPr>
              <w:spacing w:after="0"/>
              <w:rPr>
                <w:sz w:val="24"/>
                <w:szCs w:val="24"/>
                <w:color w:val="auto"/>
              </w:rPr>
            </w:pP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Institutional Capital Markets</w:t>
            </w: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Bear Stearns International Ltd.</w:t>
            </w: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Marco Sampelligrini (7)</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Banco Intesa</w:t>
            </w:r>
          </w:p>
        </w:tc>
        <w:tc>
          <w:tcPr>
            <w:tcW w:w="1580" w:type="dxa"/>
            <w:vAlign w:val="bottom"/>
          </w:tcPr>
          <w:p>
            <w:pPr>
              <w:spacing w:after="0"/>
              <w:rPr>
                <w:sz w:val="24"/>
                <w:szCs w:val="24"/>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Milan, Italy</w:t>
            </w: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Antonie Van Ekris</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See below</w:t>
            </w:r>
          </w:p>
        </w:tc>
        <w:tc>
          <w:tcPr>
            <w:tcW w:w="1580" w:type="dxa"/>
            <w:vAlign w:val="bottom"/>
          </w:tcPr>
          <w:p>
            <w:pPr>
              <w:spacing w:after="0"/>
              <w:rPr>
                <w:sz w:val="24"/>
                <w:szCs w:val="24"/>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Lynch Corporation</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401 Theodore Fremd Avenue</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Rye, NY  10580</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08"/>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See above-Gabelli Group Capital</w:t>
            </w:r>
          </w:p>
        </w:tc>
      </w:tr>
      <w:tr>
        <w:trPr>
          <w:trHeight w:val="202"/>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Inc.</w:t>
            </w: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E. Val Cerutti</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Business Consultant</w:t>
            </w: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Cerutti Consultants</w:t>
            </w: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227 McLain Street</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Mount Kisco, NY</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10540</w:t>
            </w: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Ralph R. Papitto</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AFC Cable Systems, Inc.</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50 Kennedy Plaza</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Suite 1250</w:t>
            </w:r>
          </w:p>
        </w:tc>
        <w:tc>
          <w:tcPr>
            <w:tcW w:w="15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Providence, RI</w:t>
            </w:r>
          </w:p>
        </w:tc>
        <w:tc>
          <w:tcPr>
            <w:tcW w:w="1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02903</w:t>
            </w:r>
          </w:p>
        </w:tc>
      </w:tr>
      <w:tr>
        <w:trPr>
          <w:trHeight w:val="202"/>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Chairman and Chief Executive</w:t>
            </w:r>
          </w:p>
        </w:tc>
      </w:tr>
      <w:tr>
        <w:trPr>
          <w:trHeight w:val="203"/>
        </w:trPr>
        <w:tc>
          <w:tcPr>
            <w:tcW w:w="338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w:t>
            </w:r>
          </w:p>
        </w:tc>
        <w:tc>
          <w:tcPr>
            <w:tcW w:w="1580" w:type="dxa"/>
            <w:vAlign w:val="bottom"/>
          </w:tcPr>
          <w:p>
            <w:pPr>
              <w:spacing w:after="0"/>
              <w:rPr>
                <w:sz w:val="17"/>
                <w:szCs w:val="17"/>
                <w:color w:val="auto"/>
              </w:rPr>
            </w:pP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Chief Financial Officer</w:t>
            </w:r>
          </w:p>
        </w:tc>
      </w:tr>
      <w:tr>
        <w:trPr>
          <w:trHeight w:val="405"/>
        </w:trPr>
        <w:tc>
          <w:tcPr>
            <w:tcW w:w="33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Vice President-Administration,</w:t>
            </w:r>
          </w:p>
        </w:tc>
      </w:tr>
      <w:tr>
        <w:trPr>
          <w:trHeight w:val="203"/>
        </w:trPr>
        <w:tc>
          <w:tcPr>
            <w:tcW w:w="3380" w:type="dxa"/>
            <w:vAlign w:val="bottom"/>
          </w:tcPr>
          <w:p>
            <w:pPr>
              <w:spacing w:after="0"/>
              <w:rPr>
                <w:sz w:val="17"/>
                <w:szCs w:val="17"/>
                <w:color w:val="auto"/>
              </w:rPr>
            </w:pPr>
          </w:p>
        </w:tc>
        <w:tc>
          <w:tcPr>
            <w:tcW w:w="3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Secretary and General Counsel</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Interactive Corporation</w:t>
      </w:r>
    </w:p>
    <w:p>
      <w:pPr>
        <w:sectPr>
          <w:pgSz w:w="11900" w:h="16838" w:orient="portrait"/>
          <w:cols w:equalWidth="0" w:num="1">
            <w:col w:w="10139"/>
          </w:cols>
          <w:pgMar w:left="320" w:top="136" w:right="1440" w:bottom="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401 Theodore Fremd Avenue</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Rye, NY</w:t>
      </w:r>
      <w:r>
        <w:rPr>
          <w:sz w:val="20"/>
          <w:szCs w:val="20"/>
          <w:color w:val="auto"/>
        </w:rPr>
        <w:tab/>
      </w:r>
      <w:r>
        <w:rPr>
          <w:rFonts w:ascii="Courier New" w:cs="Courier New" w:eastAsia="Courier New" w:hAnsi="Courier New"/>
          <w:sz w:val="16"/>
          <w:szCs w:val="16"/>
          <w:color w:val="auto"/>
        </w:rPr>
        <w:t>10580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139"/>
          </w:cols>
          <w:pgMar w:left="320" w:top="142"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Paul J. Evanson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Florida Light &amp; Power Co.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14000</w:t>
      </w:r>
    </w:p>
    <w:p>
      <w:pPr>
        <w:spacing w:after="0" w:line="238" w:lineRule="auto"/>
        <w:rPr>
          <w:sz w:val="20"/>
          <w:szCs w:val="20"/>
          <w:color w:val="auto"/>
        </w:rPr>
      </w:pPr>
      <w:r>
        <w:rPr>
          <w:rFonts w:ascii="Courier New" w:cs="Courier New" w:eastAsia="Courier New" w:hAnsi="Courier New"/>
          <w:sz w:val="18"/>
          <w:szCs w:val="18"/>
          <w:color w:val="auto"/>
        </w:rPr>
        <w:t>700 Universe Blvd.</w:t>
      </w:r>
    </w:p>
    <w:p>
      <w:pPr>
        <w:spacing w:after="0" w:line="238" w:lineRule="auto"/>
        <w:rPr>
          <w:sz w:val="20"/>
          <w:szCs w:val="20"/>
          <w:color w:val="auto"/>
        </w:rPr>
      </w:pPr>
      <w:r>
        <w:rPr>
          <w:rFonts w:ascii="Courier New" w:cs="Courier New" w:eastAsia="Courier New" w:hAnsi="Courier New"/>
          <w:sz w:val="18"/>
          <w:szCs w:val="18"/>
          <w:color w:val="auto"/>
        </w:rPr>
        <w:t>Juno Beach, FL 33408</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above-Gabelli Group Capital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Partners, Inc.</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Ralph R. Papitto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AFC Cable Systems,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 Kennedy Plaza</w:t>
      </w:r>
    </w:p>
    <w:p>
      <w:pPr>
        <w:spacing w:after="0" w:line="238" w:lineRule="auto"/>
        <w:rPr>
          <w:sz w:val="20"/>
          <w:szCs w:val="20"/>
          <w:color w:val="auto"/>
        </w:rPr>
      </w:pPr>
      <w:r>
        <w:rPr>
          <w:rFonts w:ascii="Courier New" w:cs="Courier New" w:eastAsia="Courier New" w:hAnsi="Courier New"/>
          <w:sz w:val="18"/>
          <w:szCs w:val="18"/>
          <w:color w:val="auto"/>
        </w:rPr>
        <w:t>Suite 1250</w:t>
      </w:r>
    </w:p>
    <w:p>
      <w:pPr>
        <w:spacing w:after="0"/>
        <w:tabs>
          <w:tab w:leader="none" w:pos="166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02903</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Salvatore Muoio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Muoio &amp; Co.,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John C. Ferrara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David C. Mitchell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Business Consultant</w:t>
      </w:r>
    </w:p>
    <w:p>
      <w:pPr>
        <w:spacing w:after="0" w:line="238" w:lineRule="auto"/>
        <w:rPr>
          <w:sz w:val="20"/>
          <w:szCs w:val="20"/>
          <w:color w:val="auto"/>
        </w:rPr>
      </w:pPr>
      <w:r>
        <w:rPr>
          <w:rFonts w:ascii="Courier New" w:cs="Courier New" w:eastAsia="Courier New" w:hAnsi="Courier New"/>
          <w:sz w:val="18"/>
          <w:szCs w:val="18"/>
          <w:color w:val="auto"/>
        </w:rPr>
        <w:t>c/o Lynch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Theodore Fremd 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Rye, NY 10580</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139"/>
          </w:cols>
          <w:pgMar w:left="32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President-Administration,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Brighton Communications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w:t>
      </w:r>
    </w:p>
    <w:p>
      <w:pPr>
        <w:spacing w:after="0" w:line="238" w:lineRule="auto"/>
        <w:rPr>
          <w:sz w:val="20"/>
          <w:szCs w:val="20"/>
          <w:color w:val="auto"/>
        </w:rPr>
      </w:pPr>
      <w:r>
        <w:rPr>
          <w:rFonts w:ascii="Courier New" w:cs="Courier New" w:eastAsia="Courier New" w:hAnsi="Courier New"/>
          <w:sz w:val="18"/>
          <w:szCs w:val="18"/>
          <w:color w:val="auto"/>
        </w:rPr>
        <w:t>Rye, NY 105820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139"/>
          </w:cols>
          <w:pgMar w:left="320" w:top="142"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Interactive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above-Lynch Interactive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4"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139"/>
          </w:cols>
          <w:pgMar w:left="320" w:top="14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Controller, Tresurer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Assistant Secretary</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Secreatry and Assistant Tresurer</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Spinnaker Industries,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 N. Pearl Street</w:t>
      </w:r>
    </w:p>
    <w:p>
      <w:pPr>
        <w:spacing w:after="0" w:line="238" w:lineRule="auto"/>
        <w:rPr>
          <w:sz w:val="20"/>
          <w:szCs w:val="20"/>
          <w:color w:val="auto"/>
        </w:rPr>
      </w:pPr>
      <w:r>
        <w:rPr>
          <w:rFonts w:ascii="Courier New" w:cs="Courier New" w:eastAsia="Courier New" w:hAnsi="Courier New"/>
          <w:sz w:val="18"/>
          <w:szCs w:val="18"/>
          <w:color w:val="auto"/>
        </w:rPr>
        <w:t>uite 2160</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139"/>
          </w:cols>
          <w:pgMar w:left="320" w:top="142" w:right="1440" w:bottom="0"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P. Rhein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5003 Central Avenue</w:t>
      </w:r>
    </w:p>
    <w:p>
      <w:pPr>
        <w:spacing w:after="0"/>
        <w:tabs>
          <w:tab w:leader="none" w:pos="1660" w:val="left"/>
        </w:tabs>
        <w:rPr>
          <w:sz w:val="20"/>
          <w:szCs w:val="20"/>
          <w:color w:val="auto"/>
        </w:rPr>
      </w:pPr>
      <w:r>
        <w:rPr>
          <w:rFonts w:ascii="Courier New" w:cs="Courier New" w:eastAsia="Courier New" w:hAnsi="Courier New"/>
          <w:sz w:val="18"/>
          <w:szCs w:val="18"/>
          <w:color w:val="auto"/>
        </w:rPr>
        <w:t>Ocean City, NJ</w:t>
      </w:r>
      <w:r>
        <w:rPr>
          <w:sz w:val="20"/>
          <w:szCs w:val="20"/>
          <w:color w:val="auto"/>
        </w:rPr>
        <w:tab/>
      </w:r>
      <w:r>
        <w:rPr>
          <w:rFonts w:ascii="Courier New" w:cs="Courier New" w:eastAsia="Courier New" w:hAnsi="Courier New"/>
          <w:sz w:val="16"/>
          <w:szCs w:val="16"/>
          <w:color w:val="auto"/>
        </w:rPr>
        <w:t>08226</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Richard J. Boyle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The Boyle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6110 Blue Circle Drive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250</w:t>
      </w:r>
    </w:p>
    <w:p>
      <w:pPr>
        <w:spacing w:after="0"/>
        <w:tabs>
          <w:tab w:leader="none" w:pos="1660" w:val="left"/>
        </w:tabs>
        <w:rPr>
          <w:sz w:val="20"/>
          <w:szCs w:val="20"/>
          <w:color w:val="auto"/>
        </w:rPr>
      </w:pPr>
      <w:r>
        <w:rPr>
          <w:rFonts w:ascii="Courier New" w:cs="Courier New" w:eastAsia="Courier New" w:hAnsi="Courier New"/>
          <w:sz w:val="18"/>
          <w:szCs w:val="18"/>
          <w:color w:val="auto"/>
        </w:rPr>
        <w:t>Minnetonka, MN</w:t>
      </w:r>
      <w:r>
        <w:rPr>
          <w:sz w:val="20"/>
          <w:szCs w:val="20"/>
          <w:color w:val="auto"/>
        </w:rPr>
        <w:tab/>
      </w:r>
      <w:r>
        <w:rPr>
          <w:rFonts w:ascii="Courier New" w:cs="Courier New" w:eastAsia="Courier New" w:hAnsi="Courier New"/>
          <w:sz w:val="16"/>
          <w:szCs w:val="16"/>
          <w:color w:val="auto"/>
        </w:rPr>
        <w:t>55343</w:t>
      </w:r>
    </w:p>
    <w:p>
      <w:pPr>
        <w:spacing w:after="0" w:line="200" w:lineRule="exact"/>
        <w:rPr>
          <w:sz w:val="20"/>
          <w:szCs w:val="20"/>
          <w:color w:val="auto"/>
        </w:rPr>
      </w:pPr>
    </w:p>
    <w:p>
      <w:pPr>
        <w:sectPr>
          <w:pgSz w:w="11900" w:h="16838" w:orient="portrait"/>
          <w:cols w:equalWidth="0" w:num="2">
            <w:col w:w="2980" w:space="720"/>
            <w:col w:w="6439"/>
          </w:cols>
          <w:pgMar w:left="320" w:top="142" w:right="1440" w:bottom="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Ned N. Fleming,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Boyle, Fleming,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&amp; Co., Inc.</w:t>
      </w:r>
    </w:p>
    <w:p>
      <w:pPr>
        <w:sectPr>
          <w:pgSz w:w="11900" w:h="16838" w:orient="portrait"/>
          <w:cols w:equalWidth="0" w:num="2">
            <w:col w:w="2980" w:space="720"/>
            <w:col w:w="6439"/>
          </w:cols>
          <w:pgMar w:left="320" w:top="142" w:right="1440"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600 N. Pearl Street</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2160</w:t>
            </w:r>
          </w:p>
        </w:tc>
        <w:tc>
          <w:tcPr>
            <w:tcW w:w="20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Dallas, TX</w:t>
            </w:r>
          </w:p>
        </w:tc>
        <w:tc>
          <w:tcPr>
            <w:tcW w:w="200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2"/>
              </w:rPr>
              <w:t>75201</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Lynch Corporation</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Anthonie C. van Ekris</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w:t>
            </w:r>
          </w:p>
        </w:tc>
      </w:tr>
      <w:tr>
        <w:trPr>
          <w:trHeight w:val="203"/>
        </w:trPr>
        <w:tc>
          <w:tcPr>
            <w:tcW w:w="3220" w:type="dxa"/>
            <w:vAlign w:val="bottom"/>
          </w:tcPr>
          <w:p>
            <w:pPr>
              <w:spacing w:after="0"/>
              <w:rPr>
                <w:sz w:val="17"/>
                <w:szCs w:val="17"/>
                <w:color w:val="auto"/>
              </w:rPr>
            </w:pP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203"/>
        </w:trPr>
        <w:tc>
          <w:tcPr>
            <w:tcW w:w="3220" w:type="dxa"/>
            <w:vAlign w:val="bottom"/>
          </w:tcPr>
          <w:p>
            <w:pPr>
              <w:spacing w:after="0"/>
              <w:rPr>
                <w:sz w:val="17"/>
                <w:szCs w:val="17"/>
                <w:color w:val="auto"/>
              </w:rPr>
            </w:pP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Balmac International, Inc.</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61 Broadway</w:t>
            </w:r>
          </w:p>
        </w:tc>
        <w:tc>
          <w:tcPr>
            <w:tcW w:w="20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1900</w:t>
            </w:r>
          </w:p>
        </w:tc>
        <w:tc>
          <w:tcPr>
            <w:tcW w:w="20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New York, NY</w:t>
            </w:r>
          </w:p>
        </w:tc>
        <w:tc>
          <w:tcPr>
            <w:tcW w:w="2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10006</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See above-Gabelli Group Capital</w:t>
            </w:r>
          </w:p>
        </w:tc>
      </w:tr>
      <w:tr>
        <w:trPr>
          <w:trHeight w:val="203"/>
        </w:trPr>
        <w:tc>
          <w:tcPr>
            <w:tcW w:w="3220" w:type="dxa"/>
            <w:vAlign w:val="bottom"/>
          </w:tcPr>
          <w:p>
            <w:pPr>
              <w:spacing w:after="0"/>
              <w:rPr>
                <w:sz w:val="17"/>
                <w:szCs w:val="17"/>
                <w:color w:val="auto"/>
              </w:rPr>
            </w:pPr>
          </w:p>
        </w:tc>
        <w:tc>
          <w:tcPr>
            <w:tcW w:w="37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Partners, Inc.</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E. Val Cerutti</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Ralph R. Papitto</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and Chief Operating</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20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 Executive</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Officer</w:t>
            </w:r>
          </w:p>
        </w:tc>
        <w:tc>
          <w:tcPr>
            <w:tcW w:w="20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Secretary</w:t>
            </w:r>
          </w:p>
        </w:tc>
        <w:tc>
          <w:tcPr>
            <w:tcW w:w="20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 Corporate</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Development</w:t>
            </w:r>
          </w:p>
        </w:tc>
        <w:tc>
          <w:tcPr>
            <w:tcW w:w="20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Craig Jennings</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 Finance and</w:t>
            </w:r>
          </w:p>
        </w:tc>
      </w:tr>
      <w:tr>
        <w:trPr>
          <w:trHeight w:val="202"/>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Treasurer</w:t>
            </w:r>
          </w:p>
        </w:tc>
        <w:tc>
          <w:tcPr>
            <w:tcW w:w="20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Entoleter, Inc.</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251 Welton Street</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Hamden, CT  06517</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above-Spinnaker</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Entoleter</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James Fleming</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230 Saugatuck Avenue, Unit 8</w:t>
            </w:r>
          </w:p>
        </w:tc>
      </w:tr>
      <w:tr>
        <w:trPr>
          <w:trHeight w:val="203"/>
        </w:trPr>
        <w:tc>
          <w:tcPr>
            <w:tcW w:w="322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5"/>
              </w:rPr>
              <w:t>Westport, CT</w:t>
            </w:r>
          </w:p>
        </w:tc>
        <w:tc>
          <w:tcPr>
            <w:tcW w:w="2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06880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President</w:t>
            </w:r>
          </w:p>
        </w:tc>
        <w:tc>
          <w:tcPr>
            <w:tcW w:w="2000" w:type="dxa"/>
            <w:vAlign w:val="bottom"/>
          </w:tcPr>
          <w:p>
            <w:pPr>
              <w:spacing w:after="0"/>
              <w:rPr>
                <w:sz w:val="24"/>
                <w:szCs w:val="24"/>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Mark R. Matteson</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Charles DeMarino</w:t>
            </w:r>
          </w:p>
        </w:tc>
        <w:tc>
          <w:tcPr>
            <w:tcW w:w="37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Controller &amp; Secretary</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Western New Mexico Telephone Company</w:t>
      </w:r>
    </w:p>
    <w:p>
      <w:pPr>
        <w:spacing w:after="0" w:line="238" w:lineRule="auto"/>
        <w:rPr>
          <w:sz w:val="20"/>
          <w:szCs w:val="20"/>
          <w:color w:val="auto"/>
        </w:rPr>
      </w:pPr>
      <w:r>
        <w:rPr>
          <w:rFonts w:ascii="Courier New" w:cs="Courier New" w:eastAsia="Courier New" w:hAnsi="Courier New"/>
          <w:sz w:val="18"/>
          <w:szCs w:val="18"/>
          <w:color w:val="auto"/>
        </w:rPr>
        <w:t>314 Yankee Street</w:t>
      </w:r>
    </w:p>
    <w:p>
      <w:pPr>
        <w:spacing w:after="0"/>
        <w:tabs>
          <w:tab w:leader="none" w:pos="1780" w:val="left"/>
        </w:tabs>
        <w:rPr>
          <w:sz w:val="20"/>
          <w:szCs w:val="20"/>
          <w:color w:val="auto"/>
        </w:rPr>
      </w:pPr>
      <w:r>
        <w:rPr>
          <w:rFonts w:ascii="Courier New" w:cs="Courier New" w:eastAsia="Courier New" w:hAnsi="Courier New"/>
          <w:sz w:val="18"/>
          <w:szCs w:val="18"/>
          <w:color w:val="auto"/>
        </w:rPr>
        <w:t>Silver City, NM</w:t>
      </w:r>
      <w:r>
        <w:rPr>
          <w:sz w:val="20"/>
          <w:szCs w:val="20"/>
          <w:color w:val="auto"/>
        </w:rPr>
        <w:tab/>
      </w:r>
      <w:r>
        <w:rPr>
          <w:rFonts w:ascii="Courier New" w:cs="Courier New" w:eastAsia="Courier New" w:hAnsi="Courier New"/>
          <w:sz w:val="16"/>
          <w:szCs w:val="16"/>
          <w:color w:val="auto"/>
        </w:rPr>
        <w:t>88062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139"/>
          </w:cols>
          <w:pgMar w:left="320" w:top="136" w:right="1440" w:bottom="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W. Keen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President</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Dr. Brian E. Gordon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Mary Beth Baxter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&amp; Treasurer</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John Clay Keen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Route 6</w:t>
      </w:r>
    </w:p>
    <w:p>
      <w:pPr>
        <w:spacing w:after="0" w:line="238" w:lineRule="auto"/>
        <w:rPr>
          <w:sz w:val="20"/>
          <w:szCs w:val="20"/>
          <w:color w:val="auto"/>
        </w:rPr>
      </w:pPr>
      <w:r>
        <w:rPr>
          <w:rFonts w:ascii="Courier New" w:cs="Courier New" w:eastAsia="Courier New" w:hAnsi="Courier New"/>
          <w:sz w:val="18"/>
          <w:szCs w:val="18"/>
          <w:color w:val="auto"/>
        </w:rPr>
        <w:t>Box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Greenville, TX 75401</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ectPr>
          <w:pgSz w:w="11900" w:h="16838" w:orient="portrait"/>
          <w:cols w:equalWidth="0" w:num="2">
            <w:col w:w="2980" w:space="720"/>
            <w:col w:w="6439"/>
          </w:cols>
          <w:pgMar w:left="320" w:top="136" w:right="1440"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Mary</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J. Carroll</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Eugene P. Connell</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21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Jack</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W. Keen</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Chairman and President</w:t>
            </w:r>
          </w:p>
        </w:tc>
      </w:tr>
      <w:tr>
        <w:trPr>
          <w:trHeight w:val="405"/>
        </w:trPr>
        <w:tc>
          <w:tcPr>
            <w:tcW w:w="3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Dr. Brian E. Gordon</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3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Charles M. Baxter</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w w:val="96"/>
              </w:rPr>
              <w:t>Sr. Vice President-Operations</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Mary</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rPr>
              <w:t>Beth Baxter</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Secretary &amp; Treasurer</w:t>
            </w:r>
          </w:p>
        </w:tc>
      </w:tr>
      <w:tr>
        <w:trPr>
          <w:trHeight w:val="405"/>
        </w:trPr>
        <w:tc>
          <w:tcPr>
            <w:tcW w:w="3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620" w:type="dxa"/>
            <w:vAlign w:val="bottom"/>
          </w:tcPr>
          <w:p>
            <w:pPr>
              <w:ind w:left="580"/>
              <w:spacing w:after="0"/>
              <w:rPr>
                <w:sz w:val="20"/>
                <w:szCs w:val="20"/>
                <w:color w:val="auto"/>
              </w:rPr>
            </w:pPr>
            <w:r>
              <w:rPr>
                <w:rFonts w:ascii="Courier New" w:cs="Courier New" w:eastAsia="Courier New" w:hAnsi="Courier New"/>
                <w:sz w:val="18"/>
                <w:szCs w:val="18"/>
                <w:color w:val="auto"/>
              </w:rPr>
              <w:t>Assistant Treasurer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Inter-Community Telephone Company, L.L.C.</w:t>
      </w:r>
    </w:p>
    <w:p>
      <w:pPr>
        <w:spacing w:after="0" w:line="238" w:lineRule="auto"/>
        <w:rPr>
          <w:sz w:val="20"/>
          <w:szCs w:val="20"/>
          <w:color w:val="auto"/>
        </w:rPr>
      </w:pPr>
      <w:r>
        <w:rPr>
          <w:rFonts w:ascii="Courier New" w:cs="Courier New" w:eastAsia="Courier New" w:hAnsi="Courier New"/>
          <w:sz w:val="18"/>
          <w:szCs w:val="18"/>
          <w:color w:val="auto"/>
        </w:rPr>
        <w:t>P.O. Box A</w:t>
      </w:r>
    </w:p>
    <w:p>
      <w:pPr>
        <w:spacing w:after="0"/>
        <w:tabs>
          <w:tab w:leader="none" w:pos="1040" w:val="left"/>
        </w:tabs>
        <w:rPr>
          <w:sz w:val="20"/>
          <w:szCs w:val="20"/>
          <w:color w:val="auto"/>
        </w:rPr>
      </w:pPr>
      <w:r>
        <w:rPr>
          <w:rFonts w:ascii="Courier New" w:cs="Courier New" w:eastAsia="Courier New" w:hAnsi="Courier New"/>
          <w:sz w:val="18"/>
          <w:szCs w:val="18"/>
          <w:color w:val="auto"/>
        </w:rPr>
        <w:t>Nome, ND</w:t>
      </w:r>
      <w:r>
        <w:rPr>
          <w:sz w:val="20"/>
          <w:szCs w:val="20"/>
          <w:color w:val="auto"/>
        </w:rPr>
        <w:tab/>
      </w:r>
      <w:r>
        <w:rPr>
          <w:rFonts w:ascii="Courier New" w:cs="Courier New" w:eastAsia="Courier New" w:hAnsi="Courier New"/>
          <w:sz w:val="16"/>
          <w:szCs w:val="16"/>
          <w:color w:val="auto"/>
        </w:rPr>
        <w:t>58062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Managers:</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Carole Rau</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Executive Assistant</w:t>
            </w:r>
          </w:p>
        </w:tc>
      </w:tr>
      <w:tr>
        <w:trPr>
          <w:trHeight w:val="203"/>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Lynch Corporation</w:t>
            </w:r>
          </w:p>
        </w:tc>
      </w:tr>
      <w:tr>
        <w:trPr>
          <w:trHeight w:val="203"/>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401 Theodore Fremd Ave.</w:t>
            </w:r>
          </w:p>
        </w:tc>
      </w:tr>
      <w:tr>
        <w:trPr>
          <w:trHeight w:val="203"/>
        </w:trPr>
        <w:tc>
          <w:tcPr>
            <w:tcW w:w="328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Rye, NY 10580</w:t>
            </w:r>
          </w:p>
        </w:tc>
        <w:tc>
          <w:tcPr>
            <w:tcW w:w="23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Assistant Controller</w:t>
            </w:r>
          </w:p>
        </w:tc>
      </w:tr>
      <w:tr>
        <w:trPr>
          <w:trHeight w:val="202"/>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Lynch Corporation</w:t>
            </w:r>
          </w:p>
        </w:tc>
      </w:tr>
      <w:tr>
        <w:trPr>
          <w:trHeight w:val="203"/>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401 Theodore Fremd Ave</w:t>
            </w:r>
          </w:p>
        </w:tc>
      </w:tr>
      <w:tr>
        <w:trPr>
          <w:trHeight w:val="203"/>
        </w:trPr>
        <w:tc>
          <w:tcPr>
            <w:tcW w:w="328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Rye, NY 10580</w:t>
            </w:r>
          </w:p>
        </w:tc>
        <w:tc>
          <w:tcPr>
            <w:tcW w:w="23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Snyder</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200 Broadway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South</w:t>
            </w:r>
          </w:p>
        </w:tc>
      </w:tr>
      <w:tr>
        <w:trPr>
          <w:trHeight w:val="203"/>
        </w:trPr>
        <w:tc>
          <w:tcPr>
            <w:tcW w:w="328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Buffalo, ND</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58011</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Keith S. Andersen</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See above-Inter-Community Telephone</w:t>
            </w:r>
          </w:p>
        </w:tc>
      </w:tr>
      <w:tr>
        <w:trPr>
          <w:trHeight w:val="203"/>
        </w:trPr>
        <w:tc>
          <w:tcPr>
            <w:tcW w:w="328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Company</w:t>
            </w:r>
          </w:p>
        </w:tc>
        <w:tc>
          <w:tcPr>
            <w:tcW w:w="23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Reff</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See above-Inter-Community Telephone</w:t>
            </w:r>
          </w:p>
        </w:tc>
      </w:tr>
      <w:tr>
        <w:trPr>
          <w:trHeight w:val="203"/>
        </w:trPr>
        <w:tc>
          <w:tcPr>
            <w:tcW w:w="3280" w:type="dxa"/>
            <w:vAlign w:val="bottom"/>
          </w:tcPr>
          <w:p>
            <w:pPr>
              <w:spacing w:after="0"/>
              <w:rPr>
                <w:sz w:val="17"/>
                <w:szCs w:val="17"/>
                <w:color w:val="auto"/>
              </w:rPr>
            </w:pP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Company</w:t>
            </w:r>
          </w:p>
        </w:tc>
        <w:tc>
          <w:tcPr>
            <w:tcW w:w="2320" w:type="dxa"/>
            <w:vAlign w:val="bottom"/>
          </w:tcPr>
          <w:p>
            <w:pPr>
              <w:spacing w:after="0"/>
              <w:rPr>
                <w:sz w:val="17"/>
                <w:szCs w:val="17"/>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Bently</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1210 E. Washington Ave</w:t>
            </w:r>
          </w:p>
        </w:tc>
      </w:tr>
      <w:tr>
        <w:trPr>
          <w:trHeight w:val="203"/>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Gilbert, AZ 85234</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Snyder</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Keith S. Andersen</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Secretary and Treasurer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Assistant Secretary</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Lynch Telephone Corporation</w:t>
            </w:r>
          </w:p>
        </w:tc>
        <w:tc>
          <w:tcPr>
            <w:tcW w:w="1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401 Theodore Fremd Avenue</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Rye, NY 10580</w:t>
            </w:r>
          </w:p>
        </w:tc>
        <w:tc>
          <w:tcPr>
            <w:tcW w:w="1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Controller</w:t>
            </w: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W. Keen</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41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See above-Lynch Corporation</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Jack W. Keen</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rPr>
              <w:t>Secretary</w:t>
            </w:r>
          </w:p>
        </w:tc>
        <w:tc>
          <w:tcPr>
            <w:tcW w:w="232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Mary Beth Baxter</w:t>
            </w:r>
          </w:p>
        </w:tc>
        <w:tc>
          <w:tcPr>
            <w:tcW w:w="1780" w:type="dxa"/>
            <w:vAlign w:val="bottom"/>
          </w:tcPr>
          <w:p>
            <w:pPr>
              <w:ind w:left="420"/>
              <w:spacing w:after="0"/>
              <w:rPr>
                <w:sz w:val="20"/>
                <w:szCs w:val="20"/>
                <w:color w:val="auto"/>
              </w:rPr>
            </w:pPr>
            <w:r>
              <w:rPr>
                <w:rFonts w:ascii="Courier New" w:cs="Courier New" w:eastAsia="Courier New" w:hAnsi="Courier New"/>
                <w:sz w:val="18"/>
                <w:szCs w:val="18"/>
                <w:color w:val="auto"/>
                <w:w w:val="95"/>
              </w:rPr>
              <w:t>Treasurer and</w:t>
            </w:r>
          </w:p>
        </w:tc>
        <w:tc>
          <w:tcPr>
            <w:tcW w:w="232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4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Assistant Secretary</w:t>
            </w:r>
          </w:p>
        </w:tc>
      </w:tr>
    </w:tbl>
    <w:p>
      <w:pPr>
        <w:sectPr>
          <w:pgSz w:w="11900" w:h="16838" w:orient="portrait"/>
          <w:cols w:equalWidth="0" w:num="1">
            <w:col w:w="10139"/>
          </w:cols>
          <w:pgMar w:left="320" w:top="136" w:right="1440" w:bottom="0" w:gutter="0" w:footer="0" w:header="0"/>
        </w:sectPr>
      </w:pPr>
    </w:p>
    <w:bookmarkStart w:id="22" w:name="page23"/>
    <w:bookmarkEnd w:id="22"/>
    <w:p>
      <w:pPr>
        <w:ind w:left="540"/>
        <w:spacing w:after="0"/>
        <w:tabs>
          <w:tab w:leader="none" w:pos="3680" w:val="left"/>
        </w:tabs>
        <w:rPr>
          <w:sz w:val="20"/>
          <w:szCs w:val="20"/>
          <w:color w:val="auto"/>
        </w:rPr>
      </w:pPr>
      <w:r>
        <w:rPr>
          <w:rFonts w:ascii="Courier New" w:cs="Courier New" w:eastAsia="Courier New" w:hAnsi="Courier New"/>
          <w:sz w:val="18"/>
          <w:szCs w:val="18"/>
          <w:color w:val="auto"/>
        </w:rPr>
        <w:t>Robert E. Dolan</w:t>
      </w:r>
      <w:r>
        <w:rPr>
          <w:sz w:val="20"/>
          <w:szCs w:val="20"/>
          <w:color w:val="auto"/>
        </w:rPr>
        <w:tab/>
      </w:r>
      <w:r>
        <w:rPr>
          <w:rFonts w:ascii="Courier New" w:cs="Courier New" w:eastAsia="Courier New" w:hAnsi="Courier New"/>
          <w:sz w:val="16"/>
          <w:szCs w:val="16"/>
          <w:color w:val="auto"/>
        </w:rPr>
        <w:t>Vice President and Controller</w:t>
      </w:r>
    </w:p>
    <w:p>
      <w:pPr>
        <w:spacing w:after="0" w:line="200" w:lineRule="exact"/>
        <w:rPr>
          <w:sz w:val="20"/>
          <w:szCs w:val="20"/>
          <w:color w:val="auto"/>
        </w:rPr>
      </w:pPr>
    </w:p>
    <w:p>
      <w:pPr>
        <w:spacing w:after="0" w:line="204" w:lineRule="exact"/>
        <w:rPr>
          <w:sz w:val="20"/>
          <w:szCs w:val="20"/>
          <w:color w:val="auto"/>
        </w:rPr>
      </w:pPr>
    </w:p>
    <w:p>
      <w:pPr>
        <w:ind w:left="960" w:hanging="426"/>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Cayman Islands</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 and Canada</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ind w:left="960" w:hanging="426"/>
        <w:spacing w:after="0" w:line="238" w:lineRule="auto"/>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January 6,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Michael O. Maffie</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38" w:lineRule="auto"/>
        <w:rPr>
          <w:sz w:val="20"/>
          <w:szCs w:val="20"/>
          <w:color w:val="auto"/>
        </w:rPr>
      </w:pPr>
      <w:r>
        <w:rPr>
          <w:rFonts w:ascii="Courier New" w:cs="Courier New" w:eastAsia="Courier New" w:hAnsi="Courier New"/>
          <w:sz w:val="18"/>
          <w:szCs w:val="18"/>
          <w:color w:val="auto"/>
        </w:rPr>
        <w:t>Southwest Gas Corporation</w:t>
      </w:r>
    </w:p>
    <w:p>
      <w:pPr>
        <w:spacing w:after="0"/>
        <w:rPr>
          <w:sz w:val="20"/>
          <w:szCs w:val="20"/>
          <w:color w:val="auto"/>
        </w:rPr>
      </w:pPr>
      <w:r>
        <w:rPr>
          <w:rFonts w:ascii="Courier New" w:cs="Courier New" w:eastAsia="Courier New" w:hAnsi="Courier New"/>
          <w:sz w:val="18"/>
          <w:szCs w:val="18"/>
          <w:color w:val="auto"/>
        </w:rPr>
        <w:t>5241 W. Spring Mountain Road</w:t>
      </w:r>
    </w:p>
    <w:p>
      <w:pPr>
        <w:spacing w:after="0" w:line="237" w:lineRule="auto"/>
        <w:rPr>
          <w:sz w:val="20"/>
          <w:szCs w:val="20"/>
          <w:color w:val="auto"/>
        </w:rPr>
      </w:pPr>
      <w:r>
        <w:rPr>
          <w:rFonts w:ascii="Courier New" w:cs="Courier New" w:eastAsia="Courier New" w:hAnsi="Courier New"/>
          <w:sz w:val="18"/>
          <w:szCs w:val="18"/>
          <w:color w:val="auto"/>
        </w:rPr>
        <w:t>Las Vegas, NV 89150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2859" w:firstLine="526"/>
        <w:spacing w:after="0" w:line="235" w:lineRule="auto"/>
        <w:rPr>
          <w:sz w:val="20"/>
          <w:szCs w:val="20"/>
          <w:color w:val="auto"/>
        </w:rPr>
      </w:pPr>
      <w:r>
        <w:rPr>
          <w:rFonts w:ascii="Courier New" w:cs="Courier New" w:eastAsia="Courier New" w:hAnsi="Courier New"/>
          <w:sz w:val="18"/>
          <w:szCs w:val="18"/>
          <w:color w:val="auto"/>
        </w:rPr>
        <w:t>The merger with Oneok has run into a variety of snags. There is a drop-dead date of June 14.</w:t>
      </w:r>
    </w:p>
    <w:p>
      <w:pPr>
        <w:spacing w:after="0" w:line="208" w:lineRule="exact"/>
        <w:rPr>
          <w:sz w:val="20"/>
          <w:szCs w:val="20"/>
          <w:color w:val="auto"/>
        </w:rPr>
      </w:pPr>
    </w:p>
    <w:p>
      <w:pPr>
        <w:ind w:right="2979" w:firstLine="526"/>
        <w:spacing w:after="0" w:line="237" w:lineRule="auto"/>
        <w:rPr>
          <w:sz w:val="20"/>
          <w:szCs w:val="20"/>
          <w:color w:val="auto"/>
        </w:rPr>
      </w:pPr>
      <w:r>
        <w:rPr>
          <w:rFonts w:ascii="Courier New" w:cs="Courier New" w:eastAsia="Courier New" w:hAnsi="Courier New"/>
          <w:sz w:val="18"/>
          <w:szCs w:val="18"/>
          <w:color w:val="auto"/>
        </w:rPr>
        <w:t>On behalf of our clients, we believe the $30 per share price obtained from Oneok is materially below the price Southwest Gas is worth. We may now have another opportunity to sell the company at a price closer to its intrinsic value.</w:t>
      </w:r>
    </w:p>
    <w:p>
      <w:pPr>
        <w:spacing w:after="0" w:line="207" w:lineRule="exact"/>
        <w:rPr>
          <w:sz w:val="20"/>
          <w:szCs w:val="20"/>
          <w:color w:val="auto"/>
        </w:rPr>
      </w:pPr>
    </w:p>
    <w:p>
      <w:pPr>
        <w:ind w:right="2979" w:firstLine="526"/>
        <w:spacing w:after="0" w:line="290" w:lineRule="auto"/>
        <w:rPr>
          <w:sz w:val="20"/>
          <w:szCs w:val="20"/>
          <w:color w:val="auto"/>
        </w:rPr>
      </w:pPr>
      <w:r>
        <w:rPr>
          <w:rFonts w:ascii="Courier New" w:cs="Courier New" w:eastAsia="Courier New" w:hAnsi="Courier New"/>
          <w:sz w:val="16"/>
          <w:szCs w:val="16"/>
          <w:color w:val="auto"/>
        </w:rPr>
        <w:t>We strongly urge the Board of Directors not to extend the drop-dead date unless we a get a material improvement in the sale price.</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am available to answer any questions you may have.</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MJG/ldg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0" w:right="7719" w:hanging="532"/>
        <w:spacing w:after="0" w:line="270" w:lineRule="auto"/>
        <w:tabs>
          <w:tab w:leader="none" w:pos="5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C. Biehl Manuel J. Cortez Lloyd T. Dyer Thomas Y. Hartley Michael B. Jager Leonard R. Judd James J. Kropid Carolyn M. Sparks Robert S. Sundt Terrance L. Wright</w:t>
      </w:r>
    </w:p>
    <w:p>
      <w:pPr>
        <w:sectPr>
          <w:pgSz w:w="11900" w:h="16838" w:orient="portrait"/>
          <w:cols w:equalWidth="0" w:num="1">
            <w:col w:w="10139"/>
          </w:cols>
          <w:pgMar w:left="320" w:top="33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23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SCHEDULE II</w:t>
            </w:r>
          </w:p>
        </w:tc>
        <w:tc>
          <w:tcPr>
            <w:tcW w:w="1160" w:type="dxa"/>
            <w:vAlign w:val="bottom"/>
          </w:tcPr>
          <w:p>
            <w:pPr>
              <w:spacing w:after="0"/>
              <w:rPr>
                <w:sz w:val="17"/>
                <w:szCs w:val="17"/>
                <w:color w:val="auto"/>
              </w:rPr>
            </w:pPr>
          </w:p>
        </w:tc>
      </w:tr>
      <w:tr>
        <w:trPr>
          <w:trHeight w:val="405"/>
        </w:trPr>
        <w:tc>
          <w:tcPr>
            <w:tcW w:w="6000" w:type="dxa"/>
            <w:vAlign w:val="bottom"/>
            <w:gridSpan w:val="2"/>
          </w:tcPr>
          <w:p>
            <w:pPr>
              <w:ind w:left="2940"/>
              <w:spacing w:after="0"/>
              <w:rPr>
                <w:sz w:val="20"/>
                <w:szCs w:val="20"/>
                <w:color w:val="auto"/>
              </w:rPr>
            </w:pPr>
            <w:r>
              <w:rPr>
                <w:rFonts w:ascii="Courier New" w:cs="Courier New" w:eastAsia="Courier New" w:hAnsi="Courier New"/>
                <w:sz w:val="18"/>
                <w:szCs w:val="18"/>
                <w:color w:val="auto"/>
              </w:rPr>
              <w:t>INFORMATION WITH RESPECT TO</w:t>
            </w:r>
          </w:p>
        </w:tc>
        <w:tc>
          <w:tcPr>
            <w:tcW w:w="1160" w:type="dxa"/>
            <w:vAlign w:val="bottom"/>
          </w:tcPr>
          <w:p>
            <w:pPr>
              <w:spacing w:after="0"/>
              <w:rPr>
                <w:sz w:val="24"/>
                <w:szCs w:val="24"/>
                <w:color w:val="auto"/>
              </w:rPr>
            </w:pPr>
          </w:p>
        </w:tc>
      </w:tr>
      <w:tr>
        <w:trPr>
          <w:trHeight w:val="203"/>
        </w:trPr>
        <w:tc>
          <w:tcPr>
            <w:tcW w:w="71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w w:val="96"/>
              </w:rPr>
              <w:t>TRANSACTIONS EFFECTED DURING THE PAST SIXTY DAYS OR</w:t>
            </w:r>
          </w:p>
        </w:tc>
      </w:tr>
      <w:tr>
        <w:trPr>
          <w:trHeight w:val="203"/>
        </w:trPr>
        <w:tc>
          <w:tcPr>
            <w:tcW w:w="716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SINCE THE MOST RECENT FILING ON SCHEDULE 13D (1)</w:t>
            </w:r>
          </w:p>
        </w:tc>
      </w:tr>
      <w:tr>
        <w:trPr>
          <w:trHeight w:val="405"/>
        </w:trPr>
        <w:tc>
          <w:tcPr>
            <w:tcW w:w="368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AVERAGE</w:t>
            </w:r>
          </w:p>
        </w:tc>
      </w:tr>
      <w:tr>
        <w:trPr>
          <w:trHeight w:val="203"/>
        </w:trPr>
        <w:tc>
          <w:tcPr>
            <w:tcW w:w="3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SOLD(-)</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PRICE(2)</w:t>
            </w:r>
          </w:p>
        </w:tc>
      </w:tr>
      <w:tr>
        <w:trPr>
          <w:trHeight w:val="405"/>
        </w:trPr>
        <w:tc>
          <w:tcPr>
            <w:tcW w:w="3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COMMON STOCK-SOUTHWEST GAS CORP</w:t>
            </w:r>
          </w:p>
        </w:tc>
        <w:tc>
          <w:tcPr>
            <w:tcW w:w="2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680" w:type="dxa"/>
            <w:vAlign w:val="bottom"/>
          </w:tcPr>
          <w:p>
            <w:pPr>
              <w:spacing w:after="0"/>
              <w:rPr>
                <w:sz w:val="20"/>
                <w:szCs w:val="20"/>
                <w:color w:val="auto"/>
              </w:rPr>
            </w:pPr>
            <w:r>
              <w:rPr>
                <w:rFonts w:ascii="Courier New" w:cs="Courier New" w:eastAsia="Courier New" w:hAnsi="Courier New"/>
                <w:sz w:val="18"/>
                <w:szCs w:val="18"/>
                <w:color w:val="auto"/>
              </w:rPr>
              <w:t>GAMCO INVESTORS, INC.</w:t>
            </w:r>
          </w:p>
        </w:tc>
        <w:tc>
          <w:tcPr>
            <w:tcW w:w="2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12/30/99</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800-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22.4375</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12/28/99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22.0625</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12/28/99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21.2190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12/27/99</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22.8750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12/27/99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23.1560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12/23/99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22.8125</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12/22/99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22.5000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12/20/99</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20.4375</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12/17/99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21.0000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12/15/99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12/03/99</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22.1250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11/17/99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24.5000</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11/17/99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24.3750</w:t>
            </w:r>
          </w:p>
        </w:tc>
      </w:tr>
      <w:tr>
        <w:trPr>
          <w:trHeight w:val="202"/>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11/15/99</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23.6875</w:t>
            </w: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11/12/99</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24.1875</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GABELLI FUNDS, LLC.</w:t>
            </w: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GABELLI MATHERS FUND</w:t>
            </w: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1/05/00</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20.8243</w:t>
            </w:r>
          </w:p>
        </w:tc>
      </w:tr>
      <w:tr>
        <w:trPr>
          <w:trHeight w:val="203"/>
        </w:trPr>
        <w:tc>
          <w:tcPr>
            <w:tcW w:w="3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GABELLI UTILITY TRUST</w:t>
            </w: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1/06/00</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21.6672</w:t>
            </w:r>
          </w:p>
        </w:tc>
      </w:tr>
      <w:tr>
        <w:trPr>
          <w:trHeight w:val="203"/>
        </w:trPr>
        <w:tc>
          <w:tcPr>
            <w:tcW w:w="60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GABELLI CONVERTIBLE SECURITIES FUND</w:t>
            </w:r>
          </w:p>
        </w:tc>
        <w:tc>
          <w:tcPr>
            <w:tcW w:w="1160" w:type="dxa"/>
            <w:vAlign w:val="bottom"/>
          </w:tcPr>
          <w:p>
            <w:pPr>
              <w:spacing w:after="0"/>
              <w:rPr>
                <w:sz w:val="17"/>
                <w:szCs w:val="17"/>
                <w:color w:val="auto"/>
              </w:rPr>
            </w:pP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1/06/00</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21.6750</w:t>
            </w:r>
          </w:p>
        </w:tc>
      </w:tr>
      <w:tr>
        <w:trPr>
          <w:trHeight w:val="203"/>
        </w:trPr>
        <w:tc>
          <w:tcPr>
            <w:tcW w:w="3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THE GABELLI CAPITAL ASSET FUND</w:t>
            </w: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1/04/00</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right="2559" w:hanging="419"/>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420" w:hanging="419"/>
        <w:spacing w:after="0"/>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RESULTS IN CHANGE OF DISPOSITIVE POWER AND BENEFICIAL OWNERSHIP.</w:t>
      </w:r>
    </w:p>
    <w:sectPr>
      <w:pgSz w:w="11900" w:h="16838" w:orient="portrait"/>
      <w:cols w:equalWidth="0" w:num="1">
        <w:col w:w="9079"/>
      </w:cols>
      <w:pgMar w:left="13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3"/>
    </w:lvl>
  </w:abstractNum>
  <w:abstractNum w:abstractNumId="2">
    <w:nsid w:val="2D517796"/>
    <w:multiLevelType w:val="hybridMultilevel"/>
    <w:lvl w:ilvl="0">
      <w:lvlJc w:val="left"/>
      <w:lvlText w:val="(%1)"/>
      <w:numFmt w:val="decimal"/>
      <w:start w:val="6"/>
    </w:lvl>
  </w:abstractNum>
  <w:abstractNum w:abstractNumId="3">
    <w:nsid w:val="580BD78F"/>
    <w:multiLevelType w:val="hybridMultilevel"/>
    <w:lvl w:ilvl="0">
      <w:lvlJc w:val="left"/>
      <w:lvlText w:val="(%1)"/>
      <w:numFmt w:val="decimal"/>
      <w:start w:val="11"/>
    </w:lvl>
  </w:abstractNum>
  <w:abstractNum w:abstractNumId="4">
    <w:nsid w:val="153EA438"/>
    <w:multiLevelType w:val="hybridMultilevel"/>
    <w:lvl w:ilvl="0">
      <w:lvlJc w:val="left"/>
      <w:lvlText w:val="(%1)"/>
      <w:numFmt w:val="decimal"/>
      <w:start w:val="13"/>
    </w:lvl>
  </w:abstractNum>
  <w:abstractNum w:abstractNumId="5">
    <w:nsid w:val="3855585C"/>
    <w:multiLevelType w:val="hybridMultilevel"/>
    <w:lvl w:ilvl="0">
      <w:lvlJc w:val="left"/>
      <w:lvlText w:val="(%1)"/>
      <w:numFmt w:val="decimal"/>
      <w:start w:val="14"/>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3"/>
    </w:lvl>
  </w:abstractNum>
  <w:abstractNum w:abstractNumId="8">
    <w:nsid w:val="2A487CB0"/>
    <w:multiLevelType w:val="hybridMultilevel"/>
    <w:lvl w:ilvl="0">
      <w:lvlJc w:val="left"/>
      <w:lvlText w:val="(%1)"/>
      <w:numFmt w:val="decimal"/>
      <w:start w:val="5"/>
    </w:lvl>
  </w:abstractNum>
  <w:abstractNum w:abstractNumId="9">
    <w:nsid w:val="1D4ED43B"/>
    <w:multiLevelType w:val="hybridMultilevel"/>
    <w:lvl w:ilvl="0">
      <w:lvlJc w:val="left"/>
      <w:lvlText w:val="(%1)"/>
      <w:numFmt w:val="decimal"/>
      <w:start w:val="6"/>
    </w:lvl>
  </w:abstractNum>
  <w:abstractNum w:abstractNumId="10">
    <w:nsid w:val="725A06FB"/>
    <w:multiLevelType w:val="hybridMultilevel"/>
    <w:lvl w:ilvl="0">
      <w:lvlJc w:val="left"/>
      <w:lvlText w:val="(%1)"/>
      <w:numFmt w:val="decimal"/>
      <w:start w:val="11"/>
    </w:lvl>
  </w:abstractNum>
  <w:abstractNum w:abstractNumId="11">
    <w:nsid w:val="2CD89A32"/>
    <w:multiLevelType w:val="hybridMultilevel"/>
    <w:lvl w:ilvl="0">
      <w:lvlJc w:val="left"/>
      <w:lvlText w:val="(%1)"/>
      <w:numFmt w:val="decimal"/>
      <w:start w:val="13"/>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3"/>
    </w:lvl>
  </w:abstractNum>
  <w:abstractNum w:abstractNumId="14">
    <w:nsid w:val="4B588F54"/>
    <w:multiLevelType w:val="hybridMultilevel"/>
    <w:lvl w:ilvl="0">
      <w:lvlJc w:val="left"/>
      <w:lvlText w:val="(%1)"/>
      <w:numFmt w:val="decimal"/>
      <w:start w:val="5"/>
    </w:lvl>
  </w:abstractNum>
  <w:abstractNum w:abstractNumId="15">
    <w:nsid w:val="542289EC"/>
    <w:multiLevelType w:val="hybridMultilevel"/>
    <w:lvl w:ilvl="0">
      <w:lvlJc w:val="left"/>
      <w:lvlText w:val="(%1)"/>
      <w:numFmt w:val="decimal"/>
      <w:start w:val="6"/>
    </w:lvl>
  </w:abstractNum>
  <w:abstractNum w:abstractNumId="16">
    <w:nsid w:val="6DE91B18"/>
    <w:multiLevelType w:val="hybridMultilevel"/>
    <w:lvl w:ilvl="0">
      <w:lvlJc w:val="left"/>
      <w:lvlText w:val="(%1)"/>
      <w:numFmt w:val="decimal"/>
      <w:start w:val="11"/>
    </w:lvl>
  </w:abstractNum>
  <w:abstractNum w:abstractNumId="17">
    <w:nsid w:val="38437FDB"/>
    <w:multiLevelType w:val="hybridMultilevel"/>
    <w:lvl w:ilvl="0">
      <w:lvlJc w:val="left"/>
      <w:lvlText w:val="(%1)"/>
      <w:numFmt w:val="decimal"/>
      <w:start w:val="13"/>
    </w:lvl>
  </w:abstractNum>
  <w:abstractNum w:abstractNumId="18">
    <w:nsid w:val="7644A45C"/>
    <w:multiLevelType w:val="hybridMultilevel"/>
    <w:lvl w:ilvl="0">
      <w:lvlJc w:val="left"/>
      <w:lvlText w:val="(%1)"/>
      <w:numFmt w:val="decimal"/>
      <w:start w:val="14"/>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3"/>
    </w:lvl>
  </w:abstractNum>
  <w:abstractNum w:abstractNumId="21">
    <w:nsid w:val="579478FE"/>
    <w:multiLevelType w:val="hybridMultilevel"/>
    <w:lvl w:ilvl="0">
      <w:lvlJc w:val="left"/>
      <w:lvlText w:val="(%1)"/>
      <w:numFmt w:val="decimal"/>
      <w:start w:val="5"/>
    </w:lvl>
  </w:abstractNum>
  <w:abstractNum w:abstractNumId="22">
    <w:nsid w:val="749ABB43"/>
    <w:multiLevelType w:val="hybridMultilevel"/>
    <w:lvl w:ilvl="0">
      <w:lvlJc w:val="left"/>
      <w:lvlText w:val="(%1)"/>
      <w:numFmt w:val="decimal"/>
      <w:start w:val="6"/>
    </w:lvl>
  </w:abstractNum>
  <w:abstractNum w:abstractNumId="23">
    <w:nsid w:val="3DC240FB"/>
    <w:multiLevelType w:val="hybridMultilevel"/>
    <w:lvl w:ilvl="0">
      <w:lvlJc w:val="left"/>
      <w:lvlText w:val="(%1)"/>
      <w:numFmt w:val="decimal"/>
      <w:start w:val="13"/>
    </w:lvl>
  </w:abstractNum>
  <w:abstractNum w:abstractNumId="24">
    <w:nsid w:val="1BA026FA"/>
    <w:multiLevelType w:val="hybridMultilevel"/>
    <w:lvl w:ilvl="0">
      <w:lvlJc w:val="left"/>
      <w:lvlText w:val="(%1)"/>
      <w:numFmt w:val="decimal"/>
      <w:start w:val="14"/>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1)"/>
      <w:numFmt w:val="decimal"/>
      <w:start w:val="3"/>
    </w:lvl>
  </w:abstractNum>
  <w:abstractNum w:abstractNumId="27">
    <w:nsid w:val="12E685FB"/>
    <w:multiLevelType w:val="hybridMultilevel"/>
    <w:lvl w:ilvl="0">
      <w:lvlJc w:val="left"/>
      <w:lvlText w:val="(%1)"/>
      <w:numFmt w:val="decimal"/>
      <w:start w:val="5"/>
    </w:lvl>
  </w:abstractNum>
  <w:abstractNum w:abstractNumId="28">
    <w:nsid w:val="70C6A529"/>
    <w:multiLevelType w:val="hybridMultilevel"/>
    <w:lvl w:ilvl="0">
      <w:lvlJc w:val="left"/>
      <w:lvlText w:val="(%1)"/>
      <w:numFmt w:val="decimal"/>
      <w:start w:val="6"/>
    </w:lvl>
  </w:abstractNum>
  <w:abstractNum w:abstractNumId="29">
    <w:nsid w:val="520EEDD1"/>
    <w:multiLevelType w:val="hybridMultilevel"/>
    <w:lvl w:ilvl="0">
      <w:lvlJc w:val="left"/>
      <w:lvlText w:val="(%1)"/>
      <w:numFmt w:val="decimal"/>
      <w:start w:val="11"/>
    </w:lvl>
  </w:abstractNum>
  <w:abstractNum w:abstractNumId="30">
    <w:nsid w:val="374A3FE6"/>
    <w:multiLevelType w:val="hybridMultilevel"/>
    <w:lvl w:ilvl="0">
      <w:lvlJc w:val="left"/>
      <w:lvlText w:val="(%1)"/>
      <w:numFmt w:val="decimal"/>
      <w:start w:val="13"/>
    </w:lvl>
  </w:abstractNum>
  <w:abstractNum w:abstractNumId="31">
    <w:nsid w:val="4F4EF005"/>
    <w:multiLevelType w:val="hybridMultilevel"/>
    <w:lvl w:ilvl="0">
      <w:lvlJc w:val="left"/>
      <w:lvlText w:val="(%1)"/>
      <w:numFmt w:val="decimal"/>
      <w:start w:val="14"/>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1)"/>
      <w:numFmt w:val="decimal"/>
      <w:start w:val="6"/>
    </w:lvl>
  </w:abstractNum>
  <w:abstractNum w:abstractNumId="36">
    <w:nsid w:val="1CF10FD8"/>
    <w:multiLevelType w:val="hybridMultilevel"/>
    <w:lvl w:ilvl="0">
      <w:lvlJc w:val="left"/>
      <w:lvlText w:val="(%1)"/>
      <w:numFmt w:val="decimal"/>
      <w:start w:val="11"/>
    </w:lvl>
  </w:abstractNum>
  <w:abstractNum w:abstractNumId="37">
    <w:nsid w:val="180115BE"/>
    <w:multiLevelType w:val="hybridMultilevel"/>
    <w:lvl w:ilvl="0">
      <w:lvlJc w:val="left"/>
      <w:lvlText w:val="(%1)"/>
      <w:numFmt w:val="decimal"/>
      <w:start w:val="13"/>
    </w:lvl>
  </w:abstractNum>
  <w:abstractNum w:abstractNumId="38">
    <w:nsid w:val="235BA861"/>
    <w:multiLevelType w:val="hybridMultilevel"/>
    <w:lvl w:ilvl="0">
      <w:lvlJc w:val="left"/>
      <w:lvlText w:val="(%1)"/>
      <w:numFmt w:val="decimal"/>
      <w:start w:val="14"/>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3"/>
    </w:lvl>
  </w:abstractNum>
  <w:abstractNum w:abstractNumId="41">
    <w:nsid w:val="15B5AF5C"/>
    <w:multiLevelType w:val="hybridMultilevel"/>
    <w:lvl w:ilvl="0">
      <w:lvlJc w:val="left"/>
      <w:lvlText w:val="(%1)"/>
      <w:numFmt w:val="decimal"/>
      <w:start w:val="5"/>
    </w:lvl>
  </w:abstractNum>
  <w:abstractNum w:abstractNumId="42">
    <w:nsid w:val="741226BB"/>
    <w:multiLevelType w:val="hybridMultilevel"/>
    <w:lvl w:ilvl="0">
      <w:lvlJc w:val="left"/>
      <w:lvlText w:val="(%1)"/>
      <w:numFmt w:val="decimal"/>
      <w:start w:val="6"/>
    </w:lvl>
  </w:abstractNum>
  <w:abstractNum w:abstractNumId="43">
    <w:nsid w:val="D34B6A8"/>
    <w:multiLevelType w:val="hybridMultilevel"/>
    <w:lvl w:ilvl="0">
      <w:lvlJc w:val="left"/>
      <w:lvlText w:val="(%1)"/>
      <w:numFmt w:val="decimal"/>
      <w:start w:val="11"/>
    </w:lvl>
  </w:abstractNum>
  <w:abstractNum w:abstractNumId="44">
    <w:nsid w:val="10233C99"/>
    <w:multiLevelType w:val="hybridMultilevel"/>
    <w:lvl w:ilvl="0">
      <w:lvlJc w:val="left"/>
      <w:lvlText w:val="(%1)"/>
      <w:numFmt w:val="decimal"/>
      <w:start w:val="13"/>
    </w:lvl>
  </w:abstractNum>
  <w:abstractNum w:abstractNumId="45">
    <w:nsid w:val="3F6AB60F"/>
    <w:multiLevelType w:val="hybridMultilevel"/>
    <w:lvl w:ilvl="0">
      <w:lvlJc w:val="left"/>
      <w:lvlText w:val="(%1)"/>
      <w:numFmt w:val="decimal"/>
      <w:start w:val="14"/>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3"/>
    </w:lvl>
  </w:abstractNum>
  <w:abstractNum w:abstractNumId="48">
    <w:nsid w:val="77AE35EB"/>
    <w:multiLevelType w:val="hybridMultilevel"/>
    <w:lvl w:ilvl="0">
      <w:lvlJc w:val="left"/>
      <w:lvlText w:val="(%1)"/>
      <w:numFmt w:val="decimal"/>
      <w:start w:val="5"/>
    </w:lvl>
  </w:abstractNum>
  <w:abstractNum w:abstractNumId="49">
    <w:nsid w:val="579BE4F1"/>
    <w:multiLevelType w:val="hybridMultilevel"/>
    <w:lvl w:ilvl="0">
      <w:lvlJc w:val="left"/>
      <w:lvlText w:val="(%1)"/>
      <w:numFmt w:val="decimal"/>
      <w:start w:val="6"/>
    </w:lvl>
  </w:abstractNum>
  <w:abstractNum w:abstractNumId="50">
    <w:nsid w:val="310C50B3"/>
    <w:multiLevelType w:val="hybridMultilevel"/>
    <w:lvl w:ilvl="0">
      <w:lvlJc w:val="left"/>
      <w:lvlText w:val="(%1)"/>
      <w:numFmt w:val="decimal"/>
      <w:start w:val="11"/>
    </w:lvl>
  </w:abstractNum>
  <w:abstractNum w:abstractNumId="51">
    <w:nsid w:val="5FF87E05"/>
    <w:multiLevelType w:val="hybridMultilevel"/>
    <w:lvl w:ilvl="0">
      <w:lvlJc w:val="left"/>
      <w:lvlText w:val="(%1)"/>
      <w:numFmt w:val="decimal"/>
      <w:start w:val="13"/>
    </w:lvl>
  </w:abstractNum>
  <w:abstractNum w:abstractNumId="52">
    <w:nsid w:val="2F305DEF"/>
    <w:multiLevelType w:val="hybridMultilevel"/>
    <w:lvl w:ilvl="0">
      <w:lvlJc w:val="left"/>
      <w:lvlText w:val="(%1)"/>
      <w:numFmt w:val="decimal"/>
      <w:start w:val="14"/>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decimal"/>
      <w:start w:val="5"/>
    </w:lvl>
  </w:abstractNum>
  <w:abstractNum w:abstractNumId="55">
    <w:nsid w:val="4AD084E9"/>
    <w:multiLevelType w:val="hybridMultilevel"/>
    <w:lvl w:ilvl="0">
      <w:lvlJc w:val="left"/>
      <w:lvlText w:val="(%1)"/>
      <w:numFmt w:val="decimal"/>
      <w:start w:val="6"/>
    </w:lvl>
  </w:abstractNum>
  <w:abstractNum w:abstractNumId="56">
    <w:nsid w:val="1F48EAA1"/>
    <w:multiLevelType w:val="hybridMultilevel"/>
    <w:lvl w:ilvl="0">
      <w:lvlJc w:val="left"/>
      <w:lvlText w:val="(%1)"/>
      <w:numFmt w:val="decimal"/>
      <w:start w:val="11"/>
    </w:lvl>
  </w:abstractNum>
  <w:abstractNum w:abstractNumId="57">
    <w:nsid w:val="1381823A"/>
    <w:multiLevelType w:val="hybridMultilevel"/>
    <w:lvl w:ilvl="0">
      <w:lvlJc w:val="left"/>
      <w:lvlText w:val="(%1)"/>
      <w:numFmt w:val="decimal"/>
      <w:start w:val="13"/>
    </w:lvl>
  </w:abstractNum>
  <w:abstractNum w:abstractNumId="58">
    <w:nsid w:val="5DB70AE5"/>
    <w:multiLevelType w:val="hybridMultilevel"/>
    <w:lvl w:ilvl="0">
      <w:lvlJc w:val="left"/>
      <w:lvlText w:val="(%1)"/>
      <w:numFmt w:val="decimal"/>
      <w:start w:val="14"/>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3"/>
    </w:lvl>
  </w:abstractNum>
  <w:abstractNum w:abstractNumId="61">
    <w:nsid w:val="15014ACB"/>
    <w:multiLevelType w:val="hybridMultilevel"/>
    <w:lvl w:ilvl="0">
      <w:lvlJc w:val="left"/>
      <w:lvlText w:val="(%1)"/>
      <w:numFmt w:val="decimal"/>
      <w:start w:val="5"/>
    </w:lvl>
  </w:abstractNum>
  <w:abstractNum w:abstractNumId="62">
    <w:nsid w:val="5F5E7FD0"/>
    <w:multiLevelType w:val="hybridMultilevel"/>
    <w:lvl w:ilvl="0">
      <w:lvlJc w:val="left"/>
      <w:lvlText w:val="(%1)"/>
      <w:numFmt w:val="decimal"/>
      <w:start w:val="6"/>
    </w:lvl>
  </w:abstractNum>
  <w:abstractNum w:abstractNumId="63">
    <w:nsid w:val="98A3148"/>
    <w:multiLevelType w:val="hybridMultilevel"/>
    <w:lvl w:ilvl="0">
      <w:lvlJc w:val="left"/>
      <w:lvlText w:val="(%1)"/>
      <w:numFmt w:val="decimal"/>
      <w:start w:val="11"/>
    </w:lvl>
  </w:abstractNum>
  <w:abstractNum w:abstractNumId="64">
    <w:nsid w:val="799D0247"/>
    <w:multiLevelType w:val="hybridMultilevel"/>
    <w:lvl w:ilvl="0">
      <w:lvlJc w:val="left"/>
      <w:lvlText w:val="(%1)"/>
      <w:numFmt w:val="decimal"/>
      <w:start w:val="14"/>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3"/>
    </w:lvl>
  </w:abstractNum>
  <w:abstractNum w:abstractNumId="67">
    <w:nsid w:val="168E121F"/>
    <w:multiLevelType w:val="hybridMultilevel"/>
    <w:lvl w:ilvl="0">
      <w:lvlJc w:val="left"/>
      <w:lvlText w:val="(%1)"/>
      <w:numFmt w:val="decimal"/>
      <w:start w:val="6"/>
    </w:lvl>
  </w:abstractNum>
  <w:abstractNum w:abstractNumId="68">
    <w:nsid w:val="1EBA5D23"/>
    <w:multiLevelType w:val="hybridMultilevel"/>
    <w:lvl w:ilvl="0">
      <w:lvlJc w:val="left"/>
      <w:lvlText w:val="(%1)"/>
      <w:numFmt w:val="decimal"/>
      <w:start w:val="11"/>
    </w:lvl>
  </w:abstractNum>
  <w:abstractNum w:abstractNumId="69">
    <w:nsid w:val="661E3F1E"/>
    <w:multiLevelType w:val="hybridMultilevel"/>
    <w:lvl w:ilvl="0">
      <w:lvlJc w:val="left"/>
      <w:lvlText w:val="(%1)"/>
      <w:numFmt w:val="decimal"/>
      <w:start w:val="13"/>
    </w:lvl>
  </w:abstractNum>
  <w:abstractNum w:abstractNumId="70">
    <w:nsid w:val="5DC79EA8"/>
    <w:multiLevelType w:val="hybridMultilevel"/>
    <w:lvl w:ilvl="0">
      <w:lvlJc w:val="left"/>
      <w:lvlText w:val="(%1)"/>
      <w:numFmt w:val="lowerLetter"/>
      <w:start w:val="6"/>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2"/>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lowerLetter"/>
      <w:start w:val="29"/>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2020-10-06T10:30:48Z</dcterms:created>
  <dcterms:modified xsi:type="dcterms:W3CDTF">2020-10-06T10:30:48Z</dcterms:modified>
</cp:coreProperties>
</file>