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jc w:val="right"/>
        <w:ind w:right="60"/>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 333-222047</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CALCULATION OF REGISTRATION FEE</w:t>
      </w:r>
    </w:p>
    <w:p>
      <w:pPr>
        <w:spacing w:after="0" w:line="232"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maximum</w:t>
            </w:r>
          </w:p>
        </w:tc>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80" w:type="dxa"/>
            <w:vAlign w:val="bottom"/>
            <w:tcBorders>
              <w:right w:val="single" w:sz="8" w:color="auto"/>
            </w:tcBorders>
            <w:vMerge w:val="restart"/>
          </w:tcPr>
          <w:p>
            <w:pPr>
              <w:ind w:left="100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5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 Offering</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aggregate</w:t>
            </w: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80" w:type="dxa"/>
            <w:vAlign w:val="bottom"/>
            <w:tcBorders>
              <w:bottom w:val="single" w:sz="8" w:color="auto"/>
              <w:right w:val="single" w:sz="8" w:color="auto"/>
            </w:tcBorders>
            <w:vMerge w:val="continue"/>
          </w:tcPr>
          <w:p>
            <w:pPr>
              <w:spacing w:after="0"/>
              <w:rPr>
                <w:sz w:val="14"/>
                <w:szCs w:val="14"/>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Registered</w:t>
            </w:r>
            <w:r>
              <w:rPr>
                <w:rFonts w:ascii="Arial" w:cs="Arial" w:eastAsia="Arial" w:hAnsi="Arial"/>
                <w:sz w:val="12"/>
                <w:szCs w:val="12"/>
                <w:b w:val="1"/>
                <w:bCs w:val="1"/>
                <w:color w:val="auto"/>
                <w:w w:val="89"/>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Price Per Security</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$1.00 par value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543,500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$91.44(2)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$49,697,640(2)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$6,023.40(2)(3)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4"/>
          <w:szCs w:val="24"/>
          <w:color w:val="auto"/>
        </w:rPr>
      </w:pPr>
    </w:p>
    <w:p>
      <w:pPr>
        <w:ind w:left="640" w:right="100" w:hanging="436"/>
        <w:spacing w:after="0" w:line="288" w:lineRule="auto"/>
        <w:tabs>
          <w:tab w:leader="none" w:pos="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416 under the Securities Act of 1933, as amended (the “Securities Act”), this Registration Statement shall include any additional shares that may become issuable as a result of any stock split, stock dividend, recapitalization or other similar transaction effected without the receipt of consideration that results in an increase in the number of Southwest Gas Holdings Inc.’s outstanding shares of common stock.</w:t>
      </w:r>
    </w:p>
    <w:p>
      <w:pPr>
        <w:ind w:left="640" w:right="200" w:hanging="436"/>
        <w:spacing w:after="0" w:line="265"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Rule 457(c) under the Securities Act. The price is computed based upon the average of the high and low sale prices of Southwest Gas Holdings, Inc.’s Common Stock on September 20, 2019, as reported on the New York Stock Exchange.</w:t>
      </w:r>
    </w:p>
    <w:p>
      <w:pPr>
        <w:jc w:val="both"/>
        <w:ind w:left="640" w:right="120" w:hanging="436"/>
        <w:spacing w:after="0" w:line="277"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As discussed below, pursuant to Rule 415(a)(6) under the Securities Act, this prospectus supplement includes 273,638 unsold securities that have been previously registered. Accordingly, there is no registration fee in connection with the unsold shares of common stock. The registration fee is calculated only with respect to the additional 543,500 shares to be registered pursuant to this prospectus supplement.</w:t>
      </w:r>
    </w:p>
    <w:p>
      <w:pPr>
        <w:spacing w:after="0" w:line="65" w:lineRule="exact"/>
        <w:rPr>
          <w:rFonts w:ascii="Arial" w:cs="Arial" w:eastAsia="Arial" w:hAnsi="Arial"/>
          <w:sz w:val="17"/>
          <w:szCs w:val="17"/>
          <w:color w:val="auto"/>
        </w:rPr>
      </w:pPr>
    </w:p>
    <w:p>
      <w:pPr>
        <w:ind w:left="640" w:right="40"/>
        <w:spacing w:after="0" w:line="285" w:lineRule="auto"/>
        <w:rPr>
          <w:rFonts w:ascii="Arial" w:cs="Arial" w:eastAsia="Arial" w:hAnsi="Arial"/>
          <w:sz w:val="17"/>
          <w:szCs w:val="17"/>
          <w:color w:val="auto"/>
        </w:rPr>
      </w:pPr>
      <w:r>
        <w:rPr>
          <w:rFonts w:ascii="Arial" w:cs="Arial" w:eastAsia="Arial" w:hAnsi="Arial"/>
          <w:sz w:val="16"/>
          <w:szCs w:val="16"/>
          <w:color w:val="auto"/>
        </w:rPr>
        <w:t>The predecessor to Southwest Gas Holdings, Inc., a California corporation (the “Southwest Gas California”), previously paid a registration fee of $2,626.96 with respect to 511,414 shares of common stock of Southwest Gas California registered under its registration statement on Form S-3 (File No. 333-208609) (the “DRSPP Registration Statement”), which became automatically effective on December 18, 2015. 370,178 of such shares were carried forward to Southwest Gas California’s prospectus supplement (the “Prior Prospectus Supplement”) to its Registration Statement on Form S-3 (File No. 333-222047) (the “Universal Shelf”) under Rule 424(b)(5) under the Securities Act on December 17, 2018 pursuant to Rule 415(a)(6) under the Securities Act. On September 20, 2019, Southwest Gas California entered into an Agreement and Plan of Merger (the “Merger Agreement”) with Southwest Gas Holdings, Inc., a Delaware corporation (the “Company”). Pursuant to the Merger Agreement, on September 20, 2019, Southwest Gas California merged with and into the Company with the Company surviving (the “Merger”). In connection with the Merger, the Company assumed the Southwest Gas California’s Dividend Reinvestment and Direct Stock Purchase Plan. In addition, on September 20, 2019, in connection with the Merger, the Company filed a post-effective amendment to the Universal Shelf pursuant to which the Company became the successor issuer to Southwest Gas California pursuant to Rule 414 under the Securities Act. All of the common stock issuable under the Dividend Reinvestment and Direct Stock Purchase Plan is issuable upon the same terms and conditions as were in effect immediately prior to the completion of the Merger, except that all such common stock shall be common stock of the Company. Pursuant to Rule 415(a)(6) under the Securities Act, the securities registered pursuant to this prospectus supplement include 273,638 unsold shares of the Company’s common stock that were previously registered under the DRSPP Registration Statement and subsequently under the Prior Prospectus Supplement and 543,500 additional shares. The registration fee of $1,691.74 with respect to the unsold shares of common stock will continue to be applied to such unsold securities. Accordingly, there is no registration fee in connection with the unsold shares of common stock. The registration fee is calculated only with respect to the additional 543,500 shares to be registered pursuant to this prospectus supplement.</w:t>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(To Prospectus dated December 13,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160020</wp:posOffset>
            </wp:positionV>
            <wp:extent cx="1792605" cy="9607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92605"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Dividend Reinvestment and Direct Stock Purchase Plan</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25"/>
          <w:szCs w:val="25"/>
          <w:b w:val="1"/>
          <w:bCs w:val="1"/>
          <w:color w:val="auto"/>
        </w:rPr>
        <w:t>Common Stock, $1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252095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Southwest Gas Holdings, Inc. is pleased to offer the opportunity to participate in the Dividend Reinvestment and Direct Stock Purchase Plan (the “Plan”) to purchase shares of Southwest Gas Holdings, Inc. common stock (“Common Stock”). Anyone who joins and participates in the Plan will be considered a “Participant.” When we use the terms the “Company,” “we,” “our,” or “us,” we are referring to Southwest Gas Holdings, Inc., together with our subsidiaries, except where the context otherwise requires or where otherwise indicated. The term “Southwest Gas Holdings” refers to Southwest Gas Holdings, Inc. without its consolidated subsidiaries. The term “Southwest” refers to our subsidiary, Southwest Gas Corporation, together with its subsidiaries.</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Participation in the Plan is voluntary and provides a convenient method for existing shareholders to reinvest their Common Stock dividends automatically into additional shares of Common Stock and for new shareholders to purchase shares of Common Stock. The Plan is set forth and explained in question-and-answer format under the heading “The Plan” in this prospectus supplement. If you own shares of Common Stock and choose not to participate in the Plan, you will receive cash dividends, as declared, in the usual manner.</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described in more detail in this prospectus supplement, the Plan offers several benefits to its participants (“participants”, “you”, or “your”), including:</w:t>
      </w:r>
    </w:p>
    <w:p>
      <w:pPr>
        <w:spacing w:after="0" w:line="72" w:lineRule="exact"/>
        <w:rPr>
          <w:sz w:val="20"/>
          <w:szCs w:val="20"/>
          <w:color w:val="auto"/>
        </w:rPr>
      </w:pPr>
    </w:p>
    <w:p>
      <w:pPr>
        <w:ind w:left="1180" w:right="480" w:hanging="436"/>
        <w:spacing w:after="0" w:line="266"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Limited Costs to Buy or Sell Shares. </w:t>
      </w:r>
      <w:r>
        <w:rPr>
          <w:rFonts w:ascii="Arial" w:cs="Arial" w:eastAsia="Arial" w:hAnsi="Arial"/>
          <w:sz w:val="18"/>
          <w:szCs w:val="18"/>
          <w:color w:val="auto"/>
        </w:rPr>
        <w:t>The Plan allows you to purchase shares of Company Common Stock in a convenient manner</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incurring brokerage commissions or transaction/processing fees; however, you will be required to pay nominal brokerage/administrative fees for sales of shares under the Plan.</w:t>
      </w:r>
    </w:p>
    <w:p>
      <w:pPr>
        <w:spacing w:after="0" w:line="81" w:lineRule="exact"/>
        <w:rPr>
          <w:rFonts w:ascii="Arial" w:cs="Arial" w:eastAsia="Arial" w:hAnsi="Arial"/>
          <w:sz w:val="18"/>
          <w:szCs w:val="18"/>
          <w:color w:val="auto"/>
        </w:rPr>
      </w:pPr>
    </w:p>
    <w:p>
      <w:pPr>
        <w:ind w:left="1180" w:right="260" w:hanging="436"/>
        <w:spacing w:after="0" w:line="282"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Invest as Little as $250. </w:t>
      </w:r>
      <w:r>
        <w:rPr>
          <w:rFonts w:ascii="Arial" w:cs="Arial" w:eastAsia="Arial" w:hAnsi="Arial"/>
          <w:sz w:val="18"/>
          <w:szCs w:val="18"/>
          <w:color w:val="auto"/>
        </w:rPr>
        <w:t>You can build your investment over time, starting with as little as $250 and as little as $25 for each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Investments may not exceed $100,000 per calendar year unless a waiver is granted.</w:t>
      </w:r>
    </w:p>
    <w:p>
      <w:pPr>
        <w:spacing w:after="0" w:line="67" w:lineRule="exact"/>
        <w:rPr>
          <w:rFonts w:ascii="Arial" w:cs="Arial" w:eastAsia="Arial" w:hAnsi="Arial"/>
          <w:sz w:val="18"/>
          <w:szCs w:val="18"/>
          <w:color w:val="auto"/>
        </w:rPr>
      </w:pPr>
    </w:p>
    <w:p>
      <w:pPr>
        <w:jc w:val="both"/>
        <w:ind w:left="1180" w:hanging="436"/>
        <w:spacing w:after="0" w:line="266"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Convenient Reinvestment of Dividends. </w:t>
      </w:r>
      <w:r>
        <w:rPr>
          <w:rFonts w:ascii="Arial" w:cs="Arial" w:eastAsia="Arial" w:hAnsi="Arial"/>
          <w:sz w:val="18"/>
          <w:szCs w:val="18"/>
          <w:color w:val="auto"/>
        </w:rPr>
        <w:t>Holders of Company Common Stock can increase their holdings in the Company by reinvesting</w:t>
      </w:r>
      <w:r>
        <w:rPr>
          <w:rFonts w:ascii="Arial" w:cs="Arial" w:eastAsia="Arial" w:hAnsi="Arial"/>
          <w:sz w:val="18"/>
          <w:szCs w:val="18"/>
          <w:b w:val="1"/>
          <w:bCs w:val="1"/>
          <w:color w:val="auto"/>
        </w:rPr>
        <w:t xml:space="preserve"> </w:t>
      </w:r>
      <w:r>
        <w:rPr>
          <w:rFonts w:ascii="Arial" w:cs="Arial" w:eastAsia="Arial" w:hAnsi="Arial"/>
          <w:sz w:val="18"/>
          <w:szCs w:val="18"/>
          <w:color w:val="auto"/>
        </w:rPr>
        <w:t>all or some of the dividends paid on their Common Stock in additional shares of Common Stock without incurring brokerage commissions or transaction/processing fees.</w:t>
      </w:r>
    </w:p>
    <w:p>
      <w:pPr>
        <w:spacing w:after="0" w:line="81" w:lineRule="exact"/>
        <w:rPr>
          <w:rFonts w:ascii="Arial" w:cs="Arial" w:eastAsia="Arial" w:hAnsi="Arial"/>
          <w:sz w:val="18"/>
          <w:szCs w:val="18"/>
          <w:color w:val="auto"/>
        </w:rPr>
      </w:pPr>
    </w:p>
    <w:p>
      <w:pPr>
        <w:ind w:left="1180" w:hanging="436"/>
        <w:spacing w:after="0"/>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Convenient Payment Options. </w:t>
      </w:r>
      <w:r>
        <w:rPr>
          <w:rFonts w:ascii="Arial" w:cs="Arial" w:eastAsia="Arial" w:hAnsi="Arial"/>
          <w:sz w:val="18"/>
          <w:szCs w:val="18"/>
          <w:color w:val="auto"/>
        </w:rPr>
        <w:t>You can invest through automatic withdrawals from your bank account.</w:t>
      </w:r>
    </w:p>
    <w:p>
      <w:pPr>
        <w:spacing w:after="0" w:line="130" w:lineRule="exact"/>
        <w:rPr>
          <w:rFonts w:ascii="Arial" w:cs="Arial" w:eastAsia="Arial" w:hAnsi="Arial"/>
          <w:sz w:val="18"/>
          <w:szCs w:val="18"/>
          <w:color w:val="auto"/>
        </w:rPr>
      </w:pPr>
    </w:p>
    <w:p>
      <w:pPr>
        <w:ind w:left="1180" w:right="500" w:hanging="436"/>
        <w:spacing w:after="0" w:line="282" w:lineRule="auto"/>
        <w:tabs>
          <w:tab w:leader="none" w:pos="11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Cost Free Maintenance and Recordkeeping. </w:t>
      </w:r>
      <w:r>
        <w:rPr>
          <w:rFonts w:ascii="Arial" w:cs="Arial" w:eastAsia="Arial" w:hAnsi="Arial"/>
          <w:sz w:val="18"/>
          <w:szCs w:val="18"/>
          <w:color w:val="auto"/>
        </w:rPr>
        <w:t>Participants receive cost-free maintenance of shares in book-entry form and detailed</w:t>
      </w:r>
      <w:r>
        <w:rPr>
          <w:rFonts w:ascii="Arial" w:cs="Arial" w:eastAsia="Arial" w:hAnsi="Arial"/>
          <w:sz w:val="18"/>
          <w:szCs w:val="18"/>
          <w:b w:val="1"/>
          <w:bCs w:val="1"/>
          <w:color w:val="auto"/>
        </w:rPr>
        <w:t xml:space="preserve"> </w:t>
      </w:r>
      <w:r>
        <w:rPr>
          <w:rFonts w:ascii="Arial" w:cs="Arial" w:eastAsia="Arial" w:hAnsi="Arial"/>
          <w:sz w:val="18"/>
          <w:szCs w:val="18"/>
          <w:color w:val="auto"/>
        </w:rPr>
        <w:t>recordkeeping and reporting under the Plan.</w:t>
      </w:r>
    </w:p>
    <w:p>
      <w:pPr>
        <w:spacing w:after="0" w:line="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Company Common Stock is listed on the New York Stock Exchange (symbol “SWX”).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238125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200" w:right="20"/>
        <w:spacing w:after="0" w:line="261" w:lineRule="auto"/>
        <w:rPr>
          <w:rFonts w:ascii="Arial" w:cs="Arial" w:eastAsia="Arial" w:hAnsi="Arial"/>
          <w:sz w:val="21"/>
          <w:szCs w:val="21"/>
          <w:b w:val="1"/>
          <w:bCs w:val="1"/>
          <w:color w:val="auto"/>
        </w:rPr>
      </w:pPr>
      <w:r>
        <w:rPr>
          <w:rFonts w:ascii="Arial" w:cs="Arial" w:eastAsia="Arial" w:hAnsi="Arial"/>
          <w:sz w:val="21"/>
          <w:szCs w:val="21"/>
          <w:b w:val="1"/>
          <w:bCs w:val="1"/>
          <w:color w:val="auto"/>
        </w:rPr>
        <w:t>Investing in the Common Stock involves risks. See “</w:t>
      </w:r>
      <w:hyperlink w:anchor="page6">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beginning on page S-2 of this prospectus supplement and under Item 1A of our Annual Report on Form 10-K for the year ended December 31, 2018 and in other filings we make with the Securities and Exchange Commission from time to time.</w:t>
      </w:r>
    </w:p>
    <w:p>
      <w:pPr>
        <w:spacing w:after="0" w:line="63"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WE ENCOURAGE YOU TO READ THIS PROSPECTUS SUPPLEMENT AND THE ACCOMPANYING PROSPECTUS CAREFULLY AND TO KEEP IT FOR FUTURE REFERENCE. THE INFORMATION IN THIS PROSPECTUS IS NOT COMPLETE AND MAY BE CHANGED. THIS PROSPECTUS IS NOT AN OFFER TO SELL THESE SECURITIES, AND IT IS NOT A SOLICITATION OF AN OFFER TO BUY THESE SECURITIES IN ANY STATE WHERE THE OFFER OR SALE IS NOT PERMITTED.</w:t>
      </w:r>
    </w:p>
    <w:p>
      <w:pPr>
        <w:spacing w:after="0" w:line="183" w:lineRule="exact"/>
        <w:rPr>
          <w:sz w:val="20"/>
          <w:szCs w:val="20"/>
          <w:color w:val="auto"/>
        </w:rPr>
      </w:pPr>
    </w:p>
    <w:p>
      <w:pPr>
        <w:ind w:left="200" w:righ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160"/>
          </w:cols>
          <w:pgMar w:left="240" w:top="459" w:right="49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279"/>
        <w:spacing w:after="0"/>
        <w:rPr>
          <w:sz w:val="20"/>
          <w:szCs w:val="20"/>
          <w:color w:val="auto"/>
        </w:rPr>
      </w:pPr>
      <w:r>
        <w:rPr>
          <w:rFonts w:ascii="Arial" w:cs="Arial" w:eastAsia="Arial" w:hAnsi="Arial"/>
          <w:sz w:val="15"/>
          <w:szCs w:val="15"/>
          <w:b w:val="1"/>
          <w:bCs w:val="1"/>
          <w:color w:val="auto"/>
        </w:rPr>
        <w:t>The date of this prospectus supplement is September 23, 2019</w:t>
      </w:r>
    </w:p>
    <w:p>
      <w:pPr>
        <w:sectPr>
          <w:pgSz w:w="11900" w:h="16838" w:orient="portrait"/>
          <w:cols w:equalWidth="0" w:num="1">
            <w:col w:w="11160"/>
          </w:cols>
          <w:pgMar w:left="240" w:top="459" w:right="4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60" w:type="dxa"/>
            <w:vAlign w:val="bottom"/>
            <w:gridSpan w:val="44"/>
          </w:tcPr>
          <w:p>
            <w:pPr>
              <w:spacing w:after="0"/>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Table of Contents</w:t>
              </w:r>
            </w:hyperlink>
          </w:p>
        </w:tc>
        <w:tc>
          <w:tcPr>
            <w:tcW w:w="21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534"/>
        </w:trPr>
        <w:tc>
          <w:tcPr>
            <w:tcW w:w="2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8"/>
              </w:rPr>
              <w:t>TABLE OF CONTENTS</w:t>
            </w: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74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87"/>
              </w:rPr>
              <w:t>Prospectus Supplement</w:t>
            </w: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9"/>
        </w:trPr>
        <w:tc>
          <w:tcPr>
            <w:tcW w:w="200" w:type="dxa"/>
            <w:vAlign w:val="bottom"/>
          </w:tcPr>
          <w:p>
            <w:pPr>
              <w:spacing w:after="0"/>
              <w:rPr>
                <w:sz w:val="24"/>
                <w:szCs w:val="24"/>
                <w:color w:val="auto"/>
              </w:rPr>
            </w:pPr>
          </w:p>
        </w:tc>
        <w:tc>
          <w:tcPr>
            <w:tcW w:w="8560" w:type="dxa"/>
            <w:vAlign w:val="bottom"/>
            <w:gridSpan w:val="4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 Supplement and the Accompanying Prospectus</w:t>
              </w:r>
            </w:hyperlink>
          </w:p>
        </w:tc>
        <w:tc>
          <w:tcPr>
            <w:tcW w:w="212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S-1</w:t>
            </w:r>
          </w:p>
        </w:tc>
      </w:tr>
      <w:tr>
        <w:trPr>
          <w:trHeight w:val="196"/>
        </w:trPr>
        <w:tc>
          <w:tcPr>
            <w:tcW w:w="200" w:type="dxa"/>
            <w:vAlign w:val="bottom"/>
          </w:tcPr>
          <w:p>
            <w:pPr>
              <w:spacing w:after="0"/>
              <w:rPr>
                <w:sz w:val="17"/>
                <w:szCs w:val="17"/>
                <w:color w:val="auto"/>
              </w:rPr>
            </w:pPr>
          </w:p>
        </w:tc>
        <w:tc>
          <w:tcPr>
            <w:tcW w:w="5020" w:type="dxa"/>
            <w:vAlign w:val="bottom"/>
            <w:tcBorders>
              <w:top w:val="single" w:sz="8" w:color="0000EE"/>
            </w:tcBorders>
            <w:gridSpan w:val="41"/>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Risk Factors</w:t>
              </w:r>
            </w:hyperlink>
          </w:p>
        </w:tc>
        <w:tc>
          <w:tcPr>
            <w:tcW w:w="3540" w:type="dxa"/>
            <w:vAlign w:val="bottom"/>
            <w:gridSpan w:val="2"/>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S-2</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21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Forward-Looking Statements</w:t>
              </w:r>
            </w:hyperlink>
          </w:p>
        </w:tc>
        <w:tc>
          <w:tcPr>
            <w:tcW w:w="6440" w:type="dxa"/>
            <w:vAlign w:val="bottom"/>
            <w:gridSpan w:val="18"/>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S-3</w:t>
            </w:r>
          </w:p>
        </w:tc>
      </w:tr>
      <w:tr>
        <w:trPr>
          <w:trHeight w:val="196"/>
        </w:trPr>
        <w:tc>
          <w:tcPr>
            <w:tcW w:w="200" w:type="dxa"/>
            <w:vAlign w:val="bottom"/>
          </w:tcPr>
          <w:p>
            <w:pPr>
              <w:spacing w:after="0"/>
              <w:rPr>
                <w:sz w:val="17"/>
                <w:szCs w:val="17"/>
                <w:color w:val="auto"/>
              </w:rPr>
            </w:pPr>
          </w:p>
        </w:tc>
        <w:tc>
          <w:tcPr>
            <w:tcW w:w="1600" w:type="dxa"/>
            <w:vAlign w:val="bottom"/>
            <w:tcBorders>
              <w:bottom w:val="single" w:sz="8" w:color="0000EE"/>
            </w:tcBorders>
            <w:gridSpan w:val="17"/>
          </w:tcPr>
          <w:p>
            <w:pPr>
              <w:spacing w:after="0" w:line="196" w:lineRule="exact"/>
              <w:rPr>
                <w:rFonts w:ascii="Arial" w:cs="Arial" w:eastAsia="Arial" w:hAnsi="Arial"/>
                <w:sz w:val="18"/>
                <w:szCs w:val="18"/>
                <w:color w:val="0000EE"/>
                <w:w w:val="93"/>
              </w:rPr>
            </w:pPr>
            <w:hyperlink w:anchor="page9">
              <w:r>
                <w:rPr>
                  <w:rFonts w:ascii="Arial" w:cs="Arial" w:eastAsia="Arial" w:hAnsi="Arial"/>
                  <w:sz w:val="18"/>
                  <w:szCs w:val="18"/>
                  <w:color w:val="0000EE"/>
                  <w:w w:val="93"/>
                </w:rPr>
                <w:t>Available Information</w:t>
              </w:r>
            </w:hyperlink>
          </w:p>
        </w:tc>
        <w:tc>
          <w:tcPr>
            <w:tcW w:w="6960" w:type="dxa"/>
            <w:vAlign w:val="bottom"/>
            <w:gridSpan w:val="26"/>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S-5</w:t>
            </w:r>
          </w:p>
        </w:tc>
      </w:tr>
      <w:tr>
        <w:trPr>
          <w:trHeight w:val="196"/>
        </w:trPr>
        <w:tc>
          <w:tcPr>
            <w:tcW w:w="200" w:type="dxa"/>
            <w:vAlign w:val="bottom"/>
          </w:tcPr>
          <w:p>
            <w:pPr>
              <w:spacing w:after="0"/>
              <w:rPr>
                <w:sz w:val="17"/>
                <w:szCs w:val="17"/>
                <w:color w:val="auto"/>
              </w:rPr>
            </w:pPr>
          </w:p>
        </w:tc>
        <w:tc>
          <w:tcPr>
            <w:tcW w:w="362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Incorporation of Certain Documents by Reference</w:t>
              </w:r>
            </w:hyperlink>
          </w:p>
        </w:tc>
        <w:tc>
          <w:tcPr>
            <w:tcW w:w="4940" w:type="dxa"/>
            <w:vAlign w:val="bottom"/>
            <w:gridSpan w:val="4"/>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S-6</w:t>
            </w:r>
          </w:p>
        </w:tc>
      </w:tr>
      <w:tr>
        <w:trPr>
          <w:trHeight w:val="196"/>
        </w:trPr>
        <w:tc>
          <w:tcPr>
            <w:tcW w:w="200" w:type="dxa"/>
            <w:vAlign w:val="bottom"/>
          </w:tcPr>
          <w:p>
            <w:pPr>
              <w:spacing w:after="0"/>
              <w:rPr>
                <w:sz w:val="17"/>
                <w:szCs w:val="17"/>
                <w:color w:val="auto"/>
              </w:rPr>
            </w:pPr>
          </w:p>
        </w:tc>
        <w:tc>
          <w:tcPr>
            <w:tcW w:w="166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Overview of Company</w:t>
              </w:r>
            </w:hyperlink>
          </w:p>
        </w:tc>
        <w:tc>
          <w:tcPr>
            <w:tcW w:w="6900" w:type="dxa"/>
            <w:vAlign w:val="bottom"/>
            <w:gridSpan w:val="25"/>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S-7</w:t>
            </w:r>
          </w:p>
        </w:tc>
      </w:tr>
      <w:tr>
        <w:trPr>
          <w:trHeight w:val="196"/>
        </w:trPr>
        <w:tc>
          <w:tcPr>
            <w:tcW w:w="200" w:type="dxa"/>
            <w:vAlign w:val="bottom"/>
          </w:tcPr>
          <w:p>
            <w:pPr>
              <w:spacing w:after="0"/>
              <w:rPr>
                <w:sz w:val="17"/>
                <w:szCs w:val="17"/>
                <w:color w:val="auto"/>
              </w:rPr>
            </w:pPr>
          </w:p>
        </w:tc>
        <w:tc>
          <w:tcPr>
            <w:tcW w:w="118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12">
              <w:r>
                <w:rPr>
                  <w:rFonts w:ascii="Arial" w:cs="Arial" w:eastAsia="Arial" w:hAnsi="Arial"/>
                  <w:sz w:val="18"/>
                  <w:szCs w:val="18"/>
                  <w:color w:val="0000EE"/>
                  <w:w w:val="87"/>
                </w:rPr>
                <w:t>Use of Proceeds</w:t>
              </w:r>
            </w:hyperlink>
          </w:p>
        </w:tc>
        <w:tc>
          <w:tcPr>
            <w:tcW w:w="7380" w:type="dxa"/>
            <w:vAlign w:val="bottom"/>
            <w:gridSpan w:val="32"/>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S-8</w:t>
            </w: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The Plan</w:t>
              </w:r>
            </w:hyperlink>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r>
      <w:tr>
        <w:trPr>
          <w:trHeight w:val="20"/>
        </w:trPr>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0" w:type="dxa"/>
            <w:vAlign w:val="bottom"/>
            <w:gridSpan w:val="42"/>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Purpose</w:t>
              </w:r>
            </w:hyperlink>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Borders>
              <w:bottom w:val="single" w:sz="8" w:color="0000EE"/>
            </w:tcBorders>
            <w:gridSpan w:val="7"/>
          </w:tcPr>
          <w:p>
            <w:pPr>
              <w:spacing w:after="0" w:line="196" w:lineRule="exact"/>
              <w:rPr>
                <w:rFonts w:ascii="Arial" w:cs="Arial" w:eastAsia="Arial" w:hAnsi="Arial"/>
                <w:sz w:val="18"/>
                <w:szCs w:val="18"/>
                <w:color w:val="0000EE"/>
                <w:w w:val="84"/>
              </w:rPr>
            </w:pPr>
            <w:hyperlink w:anchor="page13">
              <w:r>
                <w:rPr>
                  <w:rFonts w:ascii="Arial" w:cs="Arial" w:eastAsia="Arial" w:hAnsi="Arial"/>
                  <w:sz w:val="18"/>
                  <w:szCs w:val="18"/>
                  <w:color w:val="0000EE"/>
                  <w:w w:val="84"/>
                </w:rPr>
                <w:t>Features</w:t>
              </w:r>
            </w:hyperlink>
          </w:p>
        </w:tc>
        <w:tc>
          <w:tcPr>
            <w:tcW w:w="7580" w:type="dxa"/>
            <w:vAlign w:val="bottom"/>
            <w:gridSpan w:val="35"/>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Administration</w:t>
              </w:r>
            </w:hyperlink>
          </w:p>
        </w:tc>
        <w:tc>
          <w:tcPr>
            <w:tcW w:w="7100" w:type="dxa"/>
            <w:vAlign w:val="bottom"/>
            <w:gridSpan w:val="28"/>
          </w:tcPr>
          <w:p>
            <w:pPr>
              <w:spacing w:after="0"/>
              <w:rPr>
                <w:sz w:val="17"/>
                <w:szCs w:val="17"/>
                <w:color w:val="auto"/>
              </w:rPr>
            </w:pPr>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w w:val="99"/>
              </w:rPr>
              <w:t>S-9</w:t>
            </w: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Participation</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S-11</w:t>
            </w:r>
          </w:p>
        </w:tc>
      </w:tr>
      <w:tr>
        <w:trPr>
          <w:trHeight w:val="20"/>
        </w:trPr>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0" w:type="dxa"/>
            <w:vAlign w:val="bottom"/>
            <w:gridSpan w:val="42"/>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Initial Investments</w:t>
              </w:r>
            </w:hyperlink>
          </w:p>
        </w:tc>
        <w:tc>
          <w:tcPr>
            <w:tcW w:w="2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16">
              <w:r>
                <w:rPr>
                  <w:rFonts w:ascii="Arial" w:cs="Arial" w:eastAsia="Arial" w:hAnsi="Arial"/>
                  <w:sz w:val="18"/>
                  <w:szCs w:val="18"/>
                  <w:color w:val="0000EE"/>
                </w:rPr>
                <w:t>Reinvested Dividends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17">
              <w:r>
                <w:rPr>
                  <w:rFonts w:ascii="Arial" w:cs="Arial" w:eastAsia="Arial" w:hAnsi="Arial"/>
                  <w:sz w:val="18"/>
                  <w:szCs w:val="18"/>
                  <w:color w:val="0000EE"/>
                </w:rPr>
                <w:t>Optional Cash Payments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18">
              <w:r>
                <w:rPr>
                  <w:rFonts w:ascii="Arial" w:cs="Arial" w:eastAsia="Arial" w:hAnsi="Arial"/>
                  <w:sz w:val="18"/>
                  <w:szCs w:val="18"/>
                  <w:color w:val="0000EE"/>
                </w:rPr>
                <w:t>Expenses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18">
              <w:r>
                <w:rPr>
                  <w:rFonts w:ascii="Arial" w:cs="Arial" w:eastAsia="Arial" w:hAnsi="Arial"/>
                  <w:sz w:val="18"/>
                  <w:szCs w:val="18"/>
                  <w:color w:val="0000EE"/>
                </w:rPr>
                <w:t>Purchasing and Pricing of Shares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19">
              <w:r>
                <w:rPr>
                  <w:rFonts w:ascii="Arial" w:cs="Arial" w:eastAsia="Arial" w:hAnsi="Arial"/>
                  <w:sz w:val="18"/>
                  <w:szCs w:val="18"/>
                  <w:color w:val="0000EE"/>
                </w:rPr>
                <w:t>Safekeeping</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20">
              <w:r>
                <w:rPr>
                  <w:rFonts w:ascii="Arial" w:cs="Arial" w:eastAsia="Arial" w:hAnsi="Arial"/>
                  <w:sz w:val="18"/>
                  <w:szCs w:val="18"/>
                  <w:color w:val="0000EE"/>
                </w:rPr>
                <w:t>Participant Accounts and Records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20">
              <w:r>
                <w:rPr>
                  <w:rFonts w:ascii="Arial" w:cs="Arial" w:eastAsia="Arial" w:hAnsi="Arial"/>
                  <w:sz w:val="18"/>
                  <w:szCs w:val="18"/>
                  <w:color w:val="0000EE"/>
                </w:rPr>
                <w:t>Withdrawal and Termination</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190"/>
        </w:trPr>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0" w:type="dxa"/>
            <w:vAlign w:val="bottom"/>
            <w:gridSpan w:val="42"/>
          </w:tcPr>
          <w:p>
            <w:pPr>
              <w:spacing w:after="0" w:line="190" w:lineRule="exact"/>
              <w:rPr>
                <w:rFonts w:ascii="Arial" w:cs="Arial" w:eastAsia="Arial" w:hAnsi="Arial"/>
                <w:sz w:val="18"/>
                <w:szCs w:val="18"/>
                <w:color w:val="0000EE"/>
              </w:rPr>
            </w:pPr>
            <w:hyperlink w:anchor="page21">
              <w:r>
                <w:rPr>
                  <w:rFonts w:ascii="Arial" w:cs="Arial" w:eastAsia="Arial" w:hAnsi="Arial"/>
                  <w:sz w:val="18"/>
                  <w:szCs w:val="18"/>
                  <w:color w:val="0000EE"/>
                </w:rPr>
                <w:t>Other Information</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190"/>
        </w:trPr>
        <w:tc>
          <w:tcPr>
            <w:tcW w:w="200" w:type="dxa"/>
            <w:vAlign w:val="bottom"/>
          </w:tcPr>
          <w:p>
            <w:pPr>
              <w:spacing w:after="0"/>
              <w:rPr>
                <w:sz w:val="16"/>
                <w:szCs w:val="16"/>
                <w:color w:val="auto"/>
              </w:rPr>
            </w:pPr>
          </w:p>
        </w:tc>
        <w:tc>
          <w:tcPr>
            <w:tcW w:w="8560" w:type="dxa"/>
            <w:vAlign w:val="bottom"/>
            <w:gridSpan w:val="43"/>
          </w:tcPr>
          <w:p>
            <w:pPr>
              <w:spacing w:after="0" w:line="190" w:lineRule="exact"/>
              <w:rPr>
                <w:rFonts w:ascii="Arial" w:cs="Arial" w:eastAsia="Arial" w:hAnsi="Arial"/>
                <w:sz w:val="18"/>
                <w:szCs w:val="18"/>
                <w:color w:val="0000EE"/>
              </w:rPr>
            </w:pPr>
            <w:hyperlink w:anchor="page26">
              <w:r>
                <w:rPr>
                  <w:rFonts w:ascii="Arial" w:cs="Arial" w:eastAsia="Arial" w:hAnsi="Arial"/>
                  <w:sz w:val="18"/>
                  <w:szCs w:val="18"/>
                  <w:color w:val="0000EE"/>
                </w:rPr>
                <w:t>Federal Income Tax Consequences of the Plan</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190"/>
        </w:trPr>
        <w:tc>
          <w:tcPr>
            <w:tcW w:w="200" w:type="dxa"/>
            <w:vAlign w:val="bottom"/>
          </w:tcPr>
          <w:p>
            <w:pPr>
              <w:spacing w:after="0"/>
              <w:rPr>
                <w:sz w:val="16"/>
                <w:szCs w:val="16"/>
                <w:color w:val="auto"/>
              </w:rPr>
            </w:pPr>
          </w:p>
        </w:tc>
        <w:tc>
          <w:tcPr>
            <w:tcW w:w="8560" w:type="dxa"/>
            <w:vAlign w:val="bottom"/>
            <w:gridSpan w:val="43"/>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Plan of Distribution</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190"/>
        </w:trPr>
        <w:tc>
          <w:tcPr>
            <w:tcW w:w="200" w:type="dxa"/>
            <w:vAlign w:val="bottom"/>
          </w:tcPr>
          <w:p>
            <w:pPr>
              <w:spacing w:after="0"/>
              <w:rPr>
                <w:sz w:val="16"/>
                <w:szCs w:val="16"/>
                <w:color w:val="auto"/>
              </w:rPr>
            </w:pPr>
          </w:p>
        </w:tc>
        <w:tc>
          <w:tcPr>
            <w:tcW w:w="8560" w:type="dxa"/>
            <w:vAlign w:val="bottom"/>
            <w:gridSpan w:val="43"/>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Interests of Named Counsel</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190"/>
        </w:trPr>
        <w:tc>
          <w:tcPr>
            <w:tcW w:w="200" w:type="dxa"/>
            <w:vAlign w:val="bottom"/>
          </w:tcPr>
          <w:p>
            <w:pPr>
              <w:spacing w:after="0"/>
              <w:rPr>
                <w:sz w:val="16"/>
                <w:szCs w:val="16"/>
                <w:color w:val="auto"/>
              </w:rPr>
            </w:pPr>
          </w:p>
        </w:tc>
        <w:tc>
          <w:tcPr>
            <w:tcW w:w="8560" w:type="dxa"/>
            <w:vAlign w:val="bottom"/>
            <w:gridSpan w:val="43"/>
          </w:tcPr>
          <w:p>
            <w:pPr>
              <w:spacing w:after="0" w:line="190"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22"/>
        </w:trPr>
        <w:tc>
          <w:tcPr>
            <w:tcW w:w="200" w:type="dxa"/>
            <w:vAlign w:val="bottom"/>
          </w:tcPr>
          <w:p>
            <w:pPr>
              <w:spacing w:after="0"/>
              <w:rPr>
                <w:sz w:val="19"/>
                <w:szCs w:val="19"/>
                <w:color w:val="auto"/>
              </w:rPr>
            </w:pPr>
          </w:p>
        </w:tc>
        <w:tc>
          <w:tcPr>
            <w:tcW w:w="36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190"/>
        </w:trPr>
        <w:tc>
          <w:tcPr>
            <w:tcW w:w="200" w:type="dxa"/>
            <w:vAlign w:val="bottom"/>
          </w:tcPr>
          <w:p>
            <w:pPr>
              <w:spacing w:after="0"/>
              <w:rPr>
                <w:sz w:val="16"/>
                <w:szCs w:val="16"/>
                <w:color w:val="auto"/>
              </w:rPr>
            </w:pPr>
          </w:p>
        </w:tc>
        <w:tc>
          <w:tcPr>
            <w:tcW w:w="8560" w:type="dxa"/>
            <w:vAlign w:val="bottom"/>
            <w:gridSpan w:val="43"/>
          </w:tcPr>
          <w:p>
            <w:pPr>
              <w:spacing w:after="0" w:line="190" w:lineRule="exact"/>
              <w:rPr>
                <w:rFonts w:ascii="Arial" w:cs="Arial" w:eastAsia="Arial" w:hAnsi="Arial"/>
                <w:sz w:val="18"/>
                <w:szCs w:val="18"/>
                <w:color w:val="0000EE"/>
              </w:rPr>
            </w:pPr>
            <w:hyperlink w:anchor="page29">
              <w:r>
                <w:rPr>
                  <w:rFonts w:ascii="Arial" w:cs="Arial" w:eastAsia="Arial" w:hAnsi="Arial"/>
                  <w:sz w:val="18"/>
                  <w:szCs w:val="18"/>
                  <w:color w:val="0000EE"/>
                </w:rPr>
                <w:t>Addendum A</w:t>
              </w:r>
            </w:hyperlink>
          </w:p>
        </w:tc>
        <w:tc>
          <w:tcPr>
            <w:tcW w:w="2120" w:type="dxa"/>
            <w:vAlign w:val="bottom"/>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S-</w:t>
            </w:r>
          </w:p>
        </w:tc>
      </w:tr>
      <w:tr>
        <w:trPr>
          <w:trHeight w:val="237"/>
        </w:trPr>
        <w:tc>
          <w:tcPr>
            <w:tcW w:w="200" w:type="dxa"/>
            <w:vAlign w:val="bottom"/>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648"/>
        </w:trPr>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540" w:type="dxa"/>
            <w:vAlign w:val="bottom"/>
            <w:gridSpan w:val="2"/>
          </w:tcPr>
          <w:p>
            <w:pPr>
              <w:jc w:val="center"/>
              <w:ind w:right="2540"/>
              <w:spacing w:after="0"/>
              <w:rPr>
                <w:sz w:val="20"/>
                <w:szCs w:val="20"/>
                <w:color w:val="auto"/>
              </w:rPr>
            </w:pPr>
            <w:r>
              <w:rPr>
                <w:rFonts w:ascii="Arial" w:cs="Arial" w:eastAsia="Arial" w:hAnsi="Arial"/>
                <w:sz w:val="18"/>
                <w:szCs w:val="18"/>
                <w:b w:val="1"/>
                <w:bCs w:val="1"/>
                <w:color w:val="auto"/>
                <w:w w:val="85"/>
              </w:rPr>
              <w:t>Prospectus</w:t>
            </w: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2"/>
        </w:trPr>
        <w:tc>
          <w:tcPr>
            <w:tcW w:w="200" w:type="dxa"/>
            <w:vAlign w:val="bottom"/>
          </w:tcPr>
          <w:p>
            <w:pPr>
              <w:spacing w:after="0"/>
              <w:rPr>
                <w:sz w:val="24"/>
                <w:szCs w:val="24"/>
                <w:color w:val="auto"/>
              </w:rPr>
            </w:pPr>
          </w:p>
        </w:tc>
        <w:tc>
          <w:tcPr>
            <w:tcW w:w="8560" w:type="dxa"/>
            <w:vAlign w:val="bottom"/>
            <w:gridSpan w:val="43"/>
          </w:tcPr>
          <w:p>
            <w:pPr>
              <w:spacing w:after="0"/>
              <w:rPr>
                <w:sz w:val="20"/>
                <w:szCs w:val="20"/>
                <w:color w:val="auto"/>
              </w:rPr>
            </w:pPr>
            <w:r>
              <w:rPr>
                <w:rFonts w:ascii="Arial" w:cs="Arial" w:eastAsia="Arial" w:hAnsi="Arial"/>
                <w:sz w:val="14"/>
                <w:szCs w:val="14"/>
                <w:b w:val="1"/>
                <w:bCs w:val="1"/>
                <w:color w:val="auto"/>
              </w:rPr>
              <w:t>Caption</w:t>
            </w: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149"/>
        </w:trPr>
        <w:tc>
          <w:tcPr>
            <w:tcW w:w="200" w:type="dxa"/>
            <w:vAlign w:val="bottom"/>
          </w:tcPr>
          <w:p>
            <w:pPr>
              <w:spacing w:after="0"/>
              <w:rPr>
                <w:sz w:val="12"/>
                <w:szCs w:val="12"/>
                <w:color w:val="auto"/>
              </w:rPr>
            </w:pPr>
          </w:p>
        </w:tc>
        <w:tc>
          <w:tcPr>
            <w:tcW w:w="520" w:type="dxa"/>
            <w:vAlign w:val="bottom"/>
            <w:tcBorders>
              <w:top w:val="single" w:sz="8" w:color="auto"/>
              <w:bottom w:val="single" w:sz="8" w:color="0000EE"/>
            </w:tcBorders>
            <w:gridSpan w:val="2"/>
          </w:tcPr>
          <w:p>
            <w:pPr>
              <w:spacing w:after="0" w:line="136" w:lineRule="exact"/>
              <w:rPr>
                <w:rFonts w:ascii="Arial" w:cs="Arial" w:eastAsia="Arial" w:hAnsi="Arial"/>
                <w:sz w:val="15"/>
                <w:szCs w:val="15"/>
                <w:color w:val="0000EE"/>
                <w:w w:val="96"/>
              </w:rPr>
            </w:pPr>
            <w:hyperlink w:anchor="page32">
              <w:r>
                <w:rPr>
                  <w:rFonts w:ascii="Arial" w:cs="Arial" w:eastAsia="Arial" w:hAnsi="Arial"/>
                  <w:sz w:val="15"/>
                  <w:szCs w:val="15"/>
                  <w:color w:val="0000EE"/>
                  <w:w w:val="96"/>
                </w:rPr>
                <w:t>ABOUT</w:t>
              </w:r>
            </w:hyperlink>
          </w:p>
        </w:tc>
        <w:tc>
          <w:tcPr>
            <w:tcW w:w="40" w:type="dxa"/>
            <w:vAlign w:val="bottom"/>
            <w:tcBorders>
              <w:bottom w:val="single" w:sz="8" w:color="0000EE"/>
            </w:tcBorders>
          </w:tcPr>
          <w:p>
            <w:pPr>
              <w:spacing w:after="0"/>
              <w:rPr>
                <w:sz w:val="12"/>
                <w:szCs w:val="12"/>
                <w:color w:val="auto"/>
              </w:rPr>
            </w:pPr>
          </w:p>
        </w:tc>
        <w:tc>
          <w:tcPr>
            <w:tcW w:w="80" w:type="dxa"/>
            <w:vAlign w:val="bottom"/>
            <w:tcBorders>
              <w:bottom w:val="single" w:sz="8" w:color="0000EE"/>
            </w:tcBorders>
          </w:tcPr>
          <w:p>
            <w:pPr>
              <w:spacing w:after="0"/>
              <w:rPr>
                <w:sz w:val="12"/>
                <w:szCs w:val="12"/>
                <w:color w:val="auto"/>
              </w:rPr>
            </w:pPr>
          </w:p>
        </w:tc>
        <w:tc>
          <w:tcPr>
            <w:tcW w:w="1600" w:type="dxa"/>
            <w:vAlign w:val="bottom"/>
            <w:tcBorders>
              <w:bottom w:val="single" w:sz="8" w:color="0000EE"/>
            </w:tcBorders>
            <w:gridSpan w:val="23"/>
          </w:tcPr>
          <w:p>
            <w:pPr>
              <w:ind w:left="20"/>
              <w:spacing w:after="0" w:line="129" w:lineRule="exact"/>
              <w:rPr>
                <w:rFonts w:ascii="Arial" w:cs="Arial" w:eastAsia="Arial" w:hAnsi="Arial"/>
                <w:sz w:val="14"/>
                <w:szCs w:val="14"/>
                <w:color w:val="0000EE"/>
              </w:rPr>
            </w:pPr>
            <w:hyperlink w:anchor="page32">
              <w:r>
                <w:rPr>
                  <w:rFonts w:ascii="Arial" w:cs="Arial" w:eastAsia="Arial" w:hAnsi="Arial"/>
                  <w:sz w:val="14"/>
                  <w:szCs w:val="14"/>
                  <w:color w:val="0000EE"/>
                </w:rPr>
                <w:t>THIS PROSPECTUS</w:t>
              </w:r>
            </w:hyperlink>
          </w:p>
        </w:tc>
        <w:tc>
          <w:tcPr>
            <w:tcW w:w="6320" w:type="dxa"/>
            <w:vAlign w:val="bottom"/>
            <w:gridSpan w:val="16"/>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r>
      <w:tr>
        <w:trPr>
          <w:trHeight w:val="210"/>
        </w:trPr>
        <w:tc>
          <w:tcPr>
            <w:tcW w:w="200" w:type="dxa"/>
            <w:vAlign w:val="bottom"/>
          </w:tcPr>
          <w:p>
            <w:pPr>
              <w:spacing w:after="0"/>
              <w:rPr>
                <w:sz w:val="18"/>
                <w:szCs w:val="18"/>
                <w:color w:val="auto"/>
              </w:rPr>
            </w:pPr>
          </w:p>
        </w:tc>
        <w:tc>
          <w:tcPr>
            <w:tcW w:w="8560" w:type="dxa"/>
            <w:vAlign w:val="bottom"/>
            <w:gridSpan w:val="4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CAUTIONARY STATEMENT REGARDING FORWARD-LOOKING INFORMATION</w:t>
              </w:r>
            </w:hyperlink>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20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OUR COMPANY</w:t>
              </w:r>
            </w:hyperlink>
          </w:p>
        </w:tc>
        <w:tc>
          <w:tcPr>
            <w:tcW w:w="5120" w:type="dxa"/>
            <w:vAlign w:val="bottom"/>
            <w:tcBorders>
              <w:top w:val="single" w:sz="8" w:color="0000EE"/>
            </w:tcBorders>
            <w:gridSpan w:val="29"/>
          </w:tcPr>
          <w:p>
            <w:pPr>
              <w:spacing w:after="0"/>
              <w:rPr>
                <w:sz w:val="17"/>
                <w:szCs w:val="17"/>
                <w:color w:val="auto"/>
              </w:rPr>
            </w:pPr>
          </w:p>
        </w:tc>
        <w:tc>
          <w:tcPr>
            <w:tcW w:w="2120" w:type="dxa"/>
            <w:vAlign w:val="bottom"/>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00" w:type="dxa"/>
            <w:vAlign w:val="bottom"/>
          </w:tcPr>
          <w:p>
            <w:pPr>
              <w:spacing w:after="0"/>
              <w:rPr>
                <w:sz w:val="17"/>
                <w:szCs w:val="17"/>
                <w:color w:val="auto"/>
              </w:rPr>
            </w:pPr>
          </w:p>
        </w:tc>
        <w:tc>
          <w:tcPr>
            <w:tcW w:w="12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RISK FACTORS</w:t>
              </w:r>
            </w:hyperlink>
          </w:p>
        </w:tc>
        <w:tc>
          <w:tcPr>
            <w:tcW w:w="7280" w:type="dxa"/>
            <w:vAlign w:val="bottom"/>
            <w:gridSpan w:val="31"/>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20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00" w:type="dxa"/>
            <w:vAlign w:val="bottom"/>
          </w:tcPr>
          <w:p>
            <w:pPr>
              <w:spacing w:after="0"/>
              <w:rPr>
                <w:sz w:val="17"/>
                <w:szCs w:val="17"/>
                <w:color w:val="auto"/>
              </w:rPr>
            </w:pPr>
          </w:p>
        </w:tc>
        <w:tc>
          <w:tcPr>
            <w:tcW w:w="2880" w:type="dxa"/>
            <w:vAlign w:val="bottom"/>
            <w:tcBorders>
              <w:top w:val="single" w:sz="8" w:color="0000EE"/>
              <w:bottom w:val="single" w:sz="8" w:color="0000EE"/>
            </w:tcBorders>
            <w:gridSpan w:val="3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DESCRIPTION OF CAPITAL STOCK</w:t>
              </w:r>
            </w:hyperlink>
          </w:p>
        </w:tc>
        <w:tc>
          <w:tcPr>
            <w:tcW w:w="620" w:type="dxa"/>
            <w:vAlign w:val="bottom"/>
            <w:tcBorders>
              <w:top w:val="single" w:sz="8" w:color="0000EE"/>
            </w:tcBorders>
            <w:gridSpan w:val="4"/>
          </w:tcPr>
          <w:p>
            <w:pPr>
              <w:spacing w:after="0"/>
              <w:rPr>
                <w:sz w:val="17"/>
                <w:szCs w:val="17"/>
                <w:color w:val="auto"/>
              </w:rPr>
            </w:pPr>
          </w:p>
        </w:tc>
        <w:tc>
          <w:tcPr>
            <w:tcW w:w="5060" w:type="dxa"/>
            <w:vAlign w:val="bottom"/>
            <w:gridSpan w:val="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DEBT SECURITIES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00" w:type="dxa"/>
            <w:vAlign w:val="bottom"/>
          </w:tcPr>
          <w:p>
            <w:pPr>
              <w:spacing w:after="0"/>
              <w:rPr>
                <w:sz w:val="17"/>
                <w:szCs w:val="17"/>
                <w:color w:val="auto"/>
              </w:rPr>
            </w:pPr>
          </w:p>
        </w:tc>
        <w:tc>
          <w:tcPr>
            <w:tcW w:w="2700" w:type="dxa"/>
            <w:vAlign w:val="bottom"/>
            <w:tcBorders>
              <w:top w:val="single" w:sz="8" w:color="0000EE"/>
              <w:bottom w:val="single" w:sz="8" w:color="0000EE"/>
            </w:tcBorders>
            <w:gridSpan w:val="30"/>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DESCRIPTION OF GUARANTEES</w:t>
              </w:r>
            </w:hyperlink>
          </w:p>
        </w:tc>
        <w:tc>
          <w:tcPr>
            <w:tcW w:w="320" w:type="dxa"/>
            <w:vAlign w:val="bottom"/>
            <w:tcBorders>
              <w:top w:val="single" w:sz="8" w:color="0000EE"/>
            </w:tcBorders>
            <w:gridSpan w:val="5"/>
          </w:tcPr>
          <w:p>
            <w:pPr>
              <w:spacing w:after="0"/>
              <w:rPr>
                <w:sz w:val="17"/>
                <w:szCs w:val="17"/>
                <w:color w:val="auto"/>
              </w:rPr>
            </w:pPr>
          </w:p>
        </w:tc>
        <w:tc>
          <w:tcPr>
            <w:tcW w:w="5540" w:type="dxa"/>
            <w:vAlign w:val="bottom"/>
            <w:gridSpan w:val="8"/>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DEPOSITARY SHARES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332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WARRANTS</w:t>
              </w:r>
            </w:hyperlink>
          </w:p>
        </w:tc>
        <w:tc>
          <w:tcPr>
            <w:tcW w:w="5240" w:type="dxa"/>
            <w:vAlign w:val="bottom"/>
            <w:gridSpan w:val="7"/>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00" w:type="dxa"/>
            <w:vAlign w:val="bottom"/>
          </w:tcPr>
          <w:p>
            <w:pPr>
              <w:spacing w:after="0"/>
              <w:rPr>
                <w:sz w:val="17"/>
                <w:szCs w:val="17"/>
                <w:color w:val="auto"/>
              </w:rPr>
            </w:pPr>
          </w:p>
        </w:tc>
        <w:tc>
          <w:tcPr>
            <w:tcW w:w="24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6080" w:type="dxa"/>
            <w:vAlign w:val="bottom"/>
            <w:gridSpan w:val="14"/>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20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56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000" w:type="dxa"/>
            <w:vAlign w:val="bottom"/>
            <w:gridSpan w:val="7"/>
          </w:tcPr>
          <w:p>
            <w:pPr>
              <w:spacing w:after="0" w:line="20" w:lineRule="exact"/>
              <w:rPr>
                <w:sz w:val="1"/>
                <w:szCs w:val="1"/>
                <w:color w:val="auto"/>
              </w:rPr>
            </w:pPr>
          </w:p>
        </w:tc>
        <w:tc>
          <w:tcPr>
            <w:tcW w:w="4740" w:type="dxa"/>
            <w:vAlign w:val="bottom"/>
            <w:gridSpan w:val="3"/>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RIGHTS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80" w:type="dxa"/>
            <w:vAlign w:val="bottom"/>
            <w:tcBorders>
              <w:top w:val="single" w:sz="8" w:color="0000EE"/>
            </w:tcBorders>
            <w:gridSpan w:val="2"/>
          </w:tcPr>
          <w:p>
            <w:pPr>
              <w:spacing w:after="0"/>
              <w:rPr>
                <w:sz w:val="17"/>
                <w:szCs w:val="17"/>
                <w:color w:val="auto"/>
              </w:rPr>
            </w:pPr>
          </w:p>
        </w:tc>
        <w:tc>
          <w:tcPr>
            <w:tcW w:w="6420" w:type="dxa"/>
            <w:vAlign w:val="bottom"/>
            <w:gridSpan w:val="17"/>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200" w:type="dxa"/>
            <w:vAlign w:val="bottom"/>
          </w:tcPr>
          <w:p>
            <w:pPr>
              <w:spacing w:after="0"/>
              <w:rPr>
                <w:sz w:val="17"/>
                <w:szCs w:val="17"/>
                <w:color w:val="auto"/>
              </w:rPr>
            </w:pPr>
          </w:p>
        </w:tc>
        <w:tc>
          <w:tcPr>
            <w:tcW w:w="3820" w:type="dxa"/>
            <w:vAlign w:val="bottom"/>
            <w:tcBorders>
              <w:bottom w:val="single" w:sz="8" w:color="0000EE"/>
            </w:tcBorders>
            <w:gridSpan w:val="40"/>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WHERE YOU CAN FIND MORE INFORMATION</w:t>
              </w:r>
            </w:hyperlink>
          </w:p>
        </w:tc>
        <w:tc>
          <w:tcPr>
            <w:tcW w:w="4740" w:type="dxa"/>
            <w:vAlign w:val="bottom"/>
            <w:gridSpan w:val="3"/>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8560" w:type="dxa"/>
            <w:vAlign w:val="bottom"/>
            <w:gridSpan w:val="4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INCORPORATION BY REFERENCE</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200" w:type="dxa"/>
            <w:vAlign w:val="bottom"/>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EXPERTS</w:t>
              </w:r>
            </w:hyperlink>
          </w:p>
        </w:tc>
        <w:tc>
          <w:tcPr>
            <w:tcW w:w="2040" w:type="dxa"/>
            <w:vAlign w:val="bottom"/>
            <w:tcBorders>
              <w:top w:val="single" w:sz="8" w:color="0000EE"/>
            </w:tcBorders>
            <w:gridSpan w:val="28"/>
          </w:tcPr>
          <w:p>
            <w:pPr>
              <w:spacing w:after="0"/>
              <w:rPr>
                <w:sz w:val="17"/>
                <w:szCs w:val="17"/>
                <w:color w:val="auto"/>
              </w:rPr>
            </w:pPr>
          </w:p>
        </w:tc>
        <w:tc>
          <w:tcPr>
            <w:tcW w:w="5740" w:type="dxa"/>
            <w:vAlign w:val="bottom"/>
            <w:gridSpan w:val="10"/>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00" w:type="dxa"/>
            <w:vAlign w:val="bottom"/>
          </w:tcPr>
          <w:p>
            <w:pPr>
              <w:spacing w:after="0"/>
              <w:rPr>
                <w:sz w:val="17"/>
                <w:szCs w:val="17"/>
                <w:color w:val="auto"/>
              </w:rPr>
            </w:pPr>
          </w:p>
        </w:tc>
        <w:tc>
          <w:tcPr>
            <w:tcW w:w="1460" w:type="dxa"/>
            <w:vAlign w:val="bottom"/>
            <w:tcBorders>
              <w:bottom w:val="single" w:sz="8" w:color="0000EE"/>
            </w:tcBorders>
            <w:gridSpan w:val="15"/>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LEGAL MATTERS</w:t>
              </w:r>
            </w:hyperlink>
          </w:p>
        </w:tc>
        <w:tc>
          <w:tcPr>
            <w:tcW w:w="7100" w:type="dxa"/>
            <w:vAlign w:val="bottom"/>
            <w:gridSpan w:val="28"/>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23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180"/>
          </w:cols>
          <w:pgMar w:left="240" w:top="446" w:right="479" w:bottom="451"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b w:val="1"/>
          <w:bCs w:val="1"/>
          <w:color w:val="auto"/>
        </w:rPr>
        <w:t>No dealer, salesperson or other individual has been authorized to give any information or to make any representations other than those contained or incorporated by reference in this prospectus supplement or the accompanying prospectus in connection with the offer made by this prospectus supplement and the accompanying prospectus and, if given or made, such information or representations must not be relied upon as having been authorized by us or any administrator, dealer or underwriter. Neither the delivery of this prospectus supplement, the accompanying prospectus nor any sale made hereunder shall under any circumstances create an implication that there has been no change in our affairs since the date hereof. This prospectus supplement does not constitute an offer or solicitation by anyone in any state in which such offer or solicitation is not authorized or in which the person making such offer or solicitation is not qualified to do so or to anyone to whom it is unlawful to make such offer or solicitation.</w:t>
      </w:r>
    </w:p>
    <w:p>
      <w:pPr>
        <w:spacing w:after="0" w:line="10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S-ii</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ABOUT THIS PROSPECTUS SUPPLEMENT AND THE PROSPECTUS</w:t>
      </w:r>
    </w:p>
    <w:p>
      <w:pPr>
        <w:spacing w:after="0" w:line="229" w:lineRule="exact"/>
        <w:rPr>
          <w:sz w:val="20"/>
          <w:szCs w:val="20"/>
          <w:color w:val="auto"/>
        </w:rPr>
      </w:pPr>
    </w:p>
    <w:p>
      <w:pPr>
        <w:jc w:val="both"/>
        <w:ind w:left="200" w:firstLine="441"/>
        <w:spacing w:after="0" w:line="312" w:lineRule="auto"/>
        <w:rPr>
          <w:sz w:val="20"/>
          <w:szCs w:val="20"/>
          <w:color w:val="auto"/>
        </w:rPr>
      </w:pPr>
      <w:r>
        <w:rPr>
          <w:rFonts w:ascii="Arial" w:cs="Arial" w:eastAsia="Arial" w:hAnsi="Arial"/>
          <w:sz w:val="16"/>
          <w:szCs w:val="16"/>
          <w:color w:val="auto"/>
        </w:rPr>
        <w:t>This document consists of two parts. The first part is comprised of this prospectus supplement, which describes the specific terms of this offering, the Plan itself, and also adds to and updates information contained in the accompanying prospectus and the documents incorporated by reference herein and therein. The second part, the accompanying prospectus, provides more general information, some of which may not apply to this offering.</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Before investing in our Common Stock, please read and consider all information contained in this prospectus supplement, the accompanying prospectus and the documents incorporated by reference herein and therein together with the additional information described under the section entitled “Available Information.” You should also read and consider the information set forth in the section entitled “Risk Factors” in each of this prospectus supplement, the accompanying prospectus and the documents incorporated by reference herein and therein before you make an investment decision.</w:t>
      </w:r>
    </w:p>
    <w:p>
      <w:pPr>
        <w:spacing w:after="0" w:line="15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are not making any representation to any purchaser of shares of our Common Stock regarding the legality of an investment in shares of our Common Stock by such purchaser. You should not consider any information in this prospectus supplement or the accompanying prospectus to be legal, business or tax advice. You should consult your own attorney, business advisor and tax advisor for legal, business and tax advice regarding an investment in shares of our common stock.</w:t>
      </w:r>
    </w:p>
    <w:p>
      <w:pPr>
        <w:spacing w:after="0" w:line="187"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Our Common Stock is being offered only for sale in jurisdictions where it is lawful to make such offers. The distribution of this prospectus supplement and the accompanying prospectus and the offering of shares of our Common Stock in other jurisdictions also may be restricted by law. Persons who receive this prospectus supplement and the accompanying prospectus should inform themselves about and observe any such restrictions.</w:t>
      </w:r>
    </w:p>
    <w:p>
      <w:pPr>
        <w:spacing w:after="0" w:line="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40"/>
          </w:cols>
          <w:pgMar w:left="24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Investing in the Company’s Common Stock involves consideration of risks that could affect the Company and our businesses, as well as the energy industry generally. Please see the risk factors as discussed under Item 1A, “Risk Factors” of Part I in our Annual Report on Form 10-K for the year ended December 31, 2018, and in subsequently filed periodic or current reports, which are incorporated by reference into this prospectus supplement. Much of the business information, as well as the financial and operational data contained in our risk factors, is updated in our periodic reports, which are also incorporated by reference into this prospectus supplement. Although we have tried to discuss key factors, please be aware that other risks may prove to be important in the future. New risks may emerge at any time, and we cannot predict such risks or estimate the extent to which they may affect our financial performance. Before purchasing shares of Common Stock, you should carefully consider the risks discussed in the documents incorporated by reference herein and the other information in this prospectus supplement. Each of the risks described could result in a decrease in the value of the Common Stock and your investment in our Company.</w:t>
      </w:r>
    </w:p>
    <w:p>
      <w:pPr>
        <w:spacing w:after="0" w:line="1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240" w:top="459" w:right="5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This prospectus supplement, the accompanying prospectus and the documents we incorporate by reference herein and therein contain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the Company’s company-owned life insurance strategy, replacement market and new construction market, expected impacts of valuation adjustments associated with the redeemable noncontrolling interest in Linetec Services, LLC (“Linetec”), the impacts of the U.S. tax reform including disposition in regulatory proceedings and bonus depreciation tax deductions, the impact of recent PHMSA rulemaking, the amounts and timing for completion of estimated future construction expenditures, including the Liquified Natural Gas facility in southern Arizona, plans to pursue infrastructure programs or programs under SB151 legislation, forecasted operating cash flows and results of operations, net earnings impacts from gas infrastructure replacement surcharges, funding sources of cash requirements, amounts generally expected to be reflected in 2019 or future period revenues from regulatory rate proceedings including amounts requested from the recently filed Arizona general rate case, the approved recovery of the Arizona Delivery Charge Adjustment balance, the outcome of judicial review of the recently concluded Nevada rate case, the anticipated timing of the Company’s reincorporation in Delaware, rates and surcharges, purchase gas adjustment (“PGA”), and other rate adjustments, sufficiency of working capital and current credit facilities, bank lending practices, the Company’s views regarding its liquidity position, ability to raise funds and receive external financing capacity and the intent and ability to issue various financing instruments and stock under the December 2017 shelf registration statement or otherwise, future dividend increases and the board of directors’ current target dividend payout ratio, pension and postretirement benefits, certain impacts of tax acts, the effect of any rate changes or regulatory proceedings, contract or construction change order negotiations, impacts of accounting standard updates, infrastructure replacement mechanisms and Customer-Owned Yard Line programs, statements regarding future gas prices, gas purchase contracts and derivative financial instruments, recoverability of regulatory assets, the impact of certain legal proceedings, and the timing and results of future rate hearings, including the multi-jurisdictional filings for recovery of the Customer Data Modernization Initiative, and approvals are forward-looking statements. All forward-looking statements are intended to be subject to the safe harbor protection provided by the Reform Act.</w:t>
      </w:r>
    </w:p>
    <w:p>
      <w:pPr>
        <w:spacing w:after="0" w:line="3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governmental or regulatory policy regarding natural gas or alternative energy, the regulatory support for ongoing infrastructure programs, the timing and amount of rate relief, the timing and methods determined by regulators to refund amounts to customers resulting from U.S. tax reform, changes in rate design, variability in volume of gas or transportation service sold to customers, changes in gas procurement practices, changes in capital requirements and funding, the impact of conditions in the capital markets on financing costs, the impact of variable rate indebtedness associated with a discontinuance of London Interbank Offered Rate including in relation to amounts of indebtedness then outstanding, changes in construction expenditures and financing, changes in operations and maintenance expenses, effects of pension expense forecasts, accounting changes and regulatory treatment related thereto, currently unresolved and future liability claims, changes in pipeline capacity for the transportation of gas and related costs, results of Centuri Group, Inc. (“Centuri”) bid work, Centuri’s projections about the acquired business’ earnings (including accretion within the first twelve months) and future acquisition-related costs, impacts of changes in value of the redeemable noncontrolling interest if at other than fair value, resolution of</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7" w:lineRule="auto"/>
        <w:rPr>
          <w:sz w:val="20"/>
          <w:szCs w:val="20"/>
          <w:color w:val="auto"/>
        </w:rPr>
      </w:pPr>
      <w:r>
        <w:rPr>
          <w:rFonts w:ascii="Arial" w:cs="Arial" w:eastAsia="Arial" w:hAnsi="Arial"/>
          <w:sz w:val="17"/>
          <w:szCs w:val="17"/>
          <w:color w:val="auto"/>
        </w:rPr>
        <w:t>events subject to cash consideration held back associated with representations, warranties, and other estimates including working capital adjustments related to the Linetec acquisition and impacts from final purchase accounting related thereto, Centuri utility infrastructure expenses, differences between actual and originally expected outcomes of Centuri bid or other fixed-price construction agreements, outcomes from contract and change order negotiations, ability to successfully procure new work, impacts from work awarded or failing to be awarded from significant customers, the mix of work awarded, the amount of work awarded to Centuri following the lifting of work stoppages or reduction,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the Company can provide no assurance that its discussions regarding certain trends relating to its financing and operating expenses will continue or cease to continue in future periods. Additional factors that could cause actual results to differ and that you should consider prior to investing in our securities are discussed under the heading “Risk Factors” and in other sections of this prospectus supplement, the accompanying prospectus and our current and periodic reports, and other filings, filed from time to time with the Securities and Exchange Commission (the “SEC”) that are incorporated by reference into this prospectus supplement. See “Available Information” and “Incorporation by Reference” under “Where You Can Find More Information” below and for information about how to obtain copies of those documents. All forward-looking statements in this prospectus supplement, the accompanying prospectus and the documents incorporated by reference herein and therein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00"/>
          </w:cols>
          <w:pgMar w:left="24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required to file annual, quarterly and current reports, proxy statements and other information with the SEC. Our filings with the SEC are available to the public through the SEC’s website at http://www.sec.gov and through the New York Stock Exchange, 11 Wall Street, New York, New York 10005, on which our Common Stock is listed.</w:t>
      </w:r>
    </w:p>
    <w:p>
      <w:pPr>
        <w:spacing w:after="0" w:line="181" w:lineRule="exact"/>
        <w:rPr>
          <w:sz w:val="20"/>
          <w:szCs w:val="20"/>
          <w:color w:val="auto"/>
        </w:rPr>
      </w:pPr>
    </w:p>
    <w:p>
      <w:pPr>
        <w:jc w:val="both"/>
        <w:ind w:left="200" w:firstLine="441"/>
        <w:spacing w:after="0" w:line="255" w:lineRule="auto"/>
        <w:rPr>
          <w:sz w:val="20"/>
          <w:szCs w:val="20"/>
          <w:color w:val="auto"/>
        </w:rPr>
      </w:pPr>
      <w:r>
        <w:rPr>
          <w:rFonts w:ascii="Arial" w:cs="Arial" w:eastAsia="Arial" w:hAnsi="Arial"/>
          <w:sz w:val="18"/>
          <w:szCs w:val="18"/>
          <w:color w:val="auto"/>
        </w:rPr>
        <w:t>Southwest Gas Holdings, Inc. and Southwest Gas Corporation have jointly filed with the SEC an automatic registration statement on Form S-3 relating to the securities covered by this prospectus supplement and the accompanying prospectus. This prospectus supplement and the accompanying prospectus is a part of the registration statement and does not contain all the information in the registration statement. Whenever a reference is made in this prospectus to a contract or other document of the Company, the reference is only a summary and you should refer to the exhibits that are a part of the registration statement for a copy of the contract or other document. You may review a copy of the registration statement well as through the SEC’s website.</w:t>
      </w:r>
    </w:p>
    <w:p>
      <w:pPr>
        <w:spacing w:after="0" w:line="12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060"/>
          </w:cols>
          <w:pgMar w:left="240" w:top="459" w:right="5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SEC allows us to incorporate by reference information into this prospectus supplement, which means that we can disclose important information by referring you to another document filed separately with the SEC. Information incorporated by reference is considered part of this prospectus supplement, except to the extent that the information is superseded in this prospectus supplement. This prospectus supplement incorporates by reference the information contained in the following documents:</w:t>
      </w:r>
    </w:p>
    <w:p>
      <w:pPr>
        <w:spacing w:after="0" w:line="92" w:lineRule="exact"/>
        <w:rPr>
          <w:sz w:val="20"/>
          <w:szCs w:val="20"/>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w:t>
      </w:r>
    </w:p>
    <w:p>
      <w:pPr>
        <w:spacing w:after="0" w:line="130" w:lineRule="exact"/>
        <w:rPr>
          <w:rFonts w:ascii="Arial" w:cs="Arial" w:eastAsia="Arial" w:hAnsi="Arial"/>
          <w:sz w:val="18"/>
          <w:szCs w:val="18"/>
          <w:color w:val="auto"/>
        </w:rPr>
      </w:pPr>
    </w:p>
    <w:p>
      <w:pPr>
        <w:ind w:left="1180" w:right="1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portions of our Definitive Proxy Statement on </w:t>
      </w:r>
      <w:hyperlink r:id="rId22">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(filed on March 18, 2019) that were incorporated by reference into our Annual Report on </w:t>
      </w:r>
      <w:hyperlink r:id="rId21">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fiscal year ended December 31, 2018.</w:t>
      </w:r>
    </w:p>
    <w:p>
      <w:pPr>
        <w:spacing w:after="0" w:line="75"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filed on </w:t>
      </w:r>
      <w:hyperlink r:id="rId23">
        <w:r>
          <w:rPr>
            <w:rFonts w:ascii="Arial" w:cs="Arial" w:eastAsia="Arial" w:hAnsi="Arial"/>
            <w:sz w:val="18"/>
            <w:szCs w:val="18"/>
            <w:u w:val="single" w:color="auto"/>
            <w:color w:val="0000EE"/>
          </w:rPr>
          <w:t>May 8,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4">
        <w:r>
          <w:rPr>
            <w:rFonts w:ascii="Arial" w:cs="Arial" w:eastAsia="Arial" w:hAnsi="Arial"/>
            <w:sz w:val="18"/>
            <w:szCs w:val="18"/>
            <w:u w:val="single" w:color="auto"/>
            <w:color w:val="0000EE"/>
          </w:rPr>
          <w:t>August 7,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Current Reports on Form 8-K filed on </w:t>
      </w:r>
      <w:hyperlink r:id="rId25">
        <w:r>
          <w:rPr>
            <w:rFonts w:ascii="Arial" w:cs="Arial" w:eastAsia="Arial" w:hAnsi="Arial"/>
            <w:sz w:val="18"/>
            <w:szCs w:val="18"/>
            <w:u w:val="single" w:color="auto"/>
            <w:color w:val="0000EE"/>
          </w:rPr>
          <w:t>February 26, 2019</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March 1, 2019</w:t>
        </w:r>
      </w:hyperlink>
      <w:r>
        <w:rPr>
          <w:rFonts w:ascii="Arial" w:cs="Arial" w:eastAsia="Arial" w:hAnsi="Arial"/>
          <w:sz w:val="18"/>
          <w:szCs w:val="18"/>
          <w:color w:val="auto"/>
        </w:rPr>
        <w:t xml:space="preserve">, </w:t>
      </w:r>
      <w:hyperlink r:id="rId27">
        <w:r>
          <w:rPr>
            <w:rFonts w:ascii="Arial" w:cs="Arial" w:eastAsia="Arial" w:hAnsi="Arial"/>
            <w:sz w:val="18"/>
            <w:szCs w:val="18"/>
            <w:u w:val="single" w:color="auto"/>
            <w:color w:val="0000EE"/>
          </w:rPr>
          <w:t>April 25, 2019</w:t>
        </w:r>
      </w:hyperlink>
      <w:r>
        <w:rPr>
          <w:rFonts w:ascii="Arial" w:cs="Arial" w:eastAsia="Arial" w:hAnsi="Arial"/>
          <w:sz w:val="18"/>
          <w:szCs w:val="18"/>
          <w:color w:val="auto"/>
        </w:rPr>
        <w:t xml:space="preserve">, </w:t>
      </w:r>
      <w:hyperlink r:id="rId28">
        <w:r>
          <w:rPr>
            <w:rFonts w:ascii="Arial" w:cs="Arial" w:eastAsia="Arial" w:hAnsi="Arial"/>
            <w:sz w:val="18"/>
            <w:szCs w:val="18"/>
            <w:u w:val="single" w:color="auto"/>
            <w:color w:val="0000EE"/>
          </w:rPr>
          <w:t>May 6,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9">
        <w:r>
          <w:rPr>
            <w:rFonts w:ascii="Arial" w:cs="Arial" w:eastAsia="Arial" w:hAnsi="Arial"/>
            <w:sz w:val="18"/>
            <w:szCs w:val="18"/>
            <w:u w:val="single" w:color="auto"/>
            <w:color w:val="0000EE"/>
          </w:rPr>
          <w:t>May 31, 2019</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A description of the Common Stock contained in our Registration Statement on </w:t>
      </w:r>
      <w:hyperlink r:id="rId30">
        <w:r>
          <w:rPr>
            <w:rFonts w:ascii="Arial" w:cs="Arial" w:eastAsia="Arial" w:hAnsi="Arial"/>
            <w:sz w:val="18"/>
            <w:szCs w:val="18"/>
            <w:u w:val="single" w:color="auto"/>
            <w:color w:val="0000EE"/>
          </w:rPr>
          <w:t>Form 8-K12B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dated September 20, 2019.</w:t>
      </w:r>
    </w:p>
    <w:p>
      <w:pPr>
        <w:spacing w:after="0" w:line="130" w:lineRule="exact"/>
        <w:rPr>
          <w:rFonts w:ascii="Arial" w:cs="Arial" w:eastAsia="Arial" w:hAnsi="Arial"/>
          <w:sz w:val="18"/>
          <w:szCs w:val="18"/>
          <w:color w:val="auto"/>
        </w:rPr>
      </w:pPr>
    </w:p>
    <w:p>
      <w:pPr>
        <w:ind w:left="1180" w:right="340" w:hanging="436"/>
        <w:spacing w:after="0" w:line="277" w:lineRule="auto"/>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future filings that we make with the SEC under Sections 13(a), 13(c), 14 or 15(d) of the Exchange Act on or after the date of this prospectus supplement until the termination of the offering.</w:t>
      </w:r>
    </w:p>
    <w:p>
      <w:pPr>
        <w:spacing w:after="0" w:line="62" w:lineRule="exact"/>
        <w:rPr>
          <w:rFonts w:ascii="Arial" w:cs="Arial" w:eastAsia="Arial" w:hAnsi="Arial"/>
          <w:sz w:val="18"/>
          <w:szCs w:val="18"/>
          <w:color w:val="auto"/>
        </w:rPr>
      </w:pPr>
    </w:p>
    <w:p>
      <w:pPr>
        <w:ind w:left="200" w:firstLine="441"/>
        <w:spacing w:after="0" w:line="259" w:lineRule="auto"/>
        <w:rPr>
          <w:sz w:val="20"/>
          <w:szCs w:val="20"/>
          <w:color w:val="auto"/>
        </w:rPr>
      </w:pPr>
      <w:r>
        <w:rPr>
          <w:rFonts w:ascii="Arial" w:cs="Arial" w:eastAsia="Arial" w:hAnsi="Arial"/>
          <w:sz w:val="18"/>
          <w:szCs w:val="18"/>
          <w:color w:val="auto"/>
        </w:rPr>
        <w:t>If you would like to receive a copy of any document incorporated by reference into this prospectus supplement or the accompanying prospectus (which will not include any of the exhibits to the documents other than those exhibits that are specifically incorporated by reference into this prospectus supplement and the accompanying prospectus), you may call or write to EQ Shareowner Services, P.O. Box 64856, St. Paul, Minnesota 55164-0856, or telephone (800) 331-1119. These documents will be provided free of charge.</w:t>
      </w:r>
    </w:p>
    <w:p>
      <w:pPr>
        <w:spacing w:after="0" w:line="119" w:lineRule="exact"/>
        <w:rPr>
          <w:rFonts w:ascii="Arial" w:cs="Arial" w:eastAsia="Arial" w:hAnsi="Arial"/>
          <w:sz w:val="18"/>
          <w:szCs w:val="18"/>
          <w:color w:val="auto"/>
        </w:rPr>
      </w:pPr>
    </w:p>
    <w:p>
      <w:pPr>
        <w:jc w:val="center"/>
        <w:ind w:right="-2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OVERVIEW OF COMPANY</w:t>
      </w:r>
    </w:p>
    <w:p>
      <w:pPr>
        <w:spacing w:after="0" w:line="229"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Southwest Gas Holdings, Inc., a Delaware corporation, is a holding company headquartered in Las Vegas, Nevada. Through its wholly owned subsidiaries, Southwest Gas Corporation (“Southwest Gas”) and Centuri, the Company operates in two business segments: natural gas operations and utility infrastructure services.</w:t>
      </w:r>
    </w:p>
    <w:p>
      <w:pPr>
        <w:spacing w:after="0" w:line="181"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Southwest Gas was incorporated in March 1931 under the laws of the state of California. Southwest Gas is engaged in the business of purchasing, distributing, and transporting natural gas for customers in portions of Arizona, Nevada, and California. Southwest Gas is the largest distributor of natural gas in Arizona, selling and transporting natural gas in most of central and southern Arizona, including the Phoenix and Tucson metropolitan areas.</w:t>
      </w:r>
    </w:p>
    <w:p>
      <w:pPr>
        <w:ind w:left="200" w:right="460"/>
        <w:spacing w:after="0" w:line="255" w:lineRule="auto"/>
        <w:rPr>
          <w:sz w:val="20"/>
          <w:szCs w:val="20"/>
          <w:color w:val="auto"/>
        </w:rPr>
      </w:pPr>
      <w:r>
        <w:rPr>
          <w:rFonts w:ascii="Arial" w:cs="Arial" w:eastAsia="Arial" w:hAnsi="Arial"/>
          <w:sz w:val="18"/>
          <w:szCs w:val="18"/>
          <w:color w:val="auto"/>
        </w:rPr>
        <w:t>Southwest Gas is also the largest distributor of natural gas in Nevada, serving the Las Vegas metropolitan area and northern Nevada. In addition, Southwest Gas distributes and transports natural gas for customers in portions of California, including the Lake Tahoe area and the high desert and mountain areas in San Bernardino County.</w:t>
      </w:r>
    </w:p>
    <w:p>
      <w:pPr>
        <w:spacing w:after="0" w:line="1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Centuri is a comprehensive utility infrastructure services enterprise dedicated to delivering a diverse array of solutions to North America’s gas and electric providers. Centuri derives revenue from installation, replacement, repair and maintenance of energy distribution systems, and developing industrial construction solutions. Centuri operations are generally conducted under the business names of NPL Construction Co., NPL Canada Ltd., New England Utility Constructors, Inc., and Linetec Services, LLC.</w:t>
      </w:r>
    </w:p>
    <w:p>
      <w:pPr>
        <w:spacing w:after="0" w:line="18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color w:val="auto"/>
        </w:rPr>
        <w:t>Southwest Gas is subject to regulation by the Arizona Corporation Commission, the Public Utilities Commission of Nevada, and the California Public Utilities Commission (“CPUC”). The CPUC regulates the issuance of all securities by Southwest Gas, with the exception of short-term borrowings. Certain of the Company’s and Southwest’s accounting practices, transmission facilities and rates are subject to regulation by the Federal Energy Regulatory Commission (“FERC”). Centuri is not regulated by the state utilities commissions or by the FERC in any of its operating areas.</w:t>
      </w:r>
    </w:p>
    <w:p>
      <w:pPr>
        <w:spacing w:after="0" w:line="154"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administrative offices are located at 5241 Spring Mountain Road, P.O. Box 98510, Las Vegas, Nevada 89193-8510, telephone number (702) 876-7237.</w:t>
      </w:r>
    </w:p>
    <w:p>
      <w:pPr>
        <w:spacing w:after="0" w:line="170"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Unless the context requires otherwise, when we use the terms the “Company,” “we,” “our” or “us,” we are referring to Southwest Gas Holdings, Inc., together with our subsidiaries.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To the extent that we directly issue original shares of Common Stock to Participants under the Plan, we will use the proceeds in connection with our construction program, to pay for additional capital improvements to our facilities and for other corporate purposes. Pending disbursement for these purposes, we may use the proceeds to reduce the amount of our short-term indebtedness if outstanding; however, we do not anticipate using a material part of the proceeds to discharge indebtedness. We cannot predict how many original shares will be sold under the Plan and, therefore, cannot estimate the amount of proceeds that we will receive. If the Plan Administrator, Equiniti Trust Company d/b/a EQ Shareowner Services (the “Plan Administrator” or “EQ”), purchases shares of Common Stock in the open market under the Plan, we will not receive any proceeds.</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is a detailed description of the Plan in question-and-answer format. For additional information concerning the Plan, please contact the Plan Administrator at (800) 331-1119 or (651) 450-4064.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640" w:hanging="436"/>
        <w:spacing w:after="0"/>
        <w:tabs>
          <w:tab w:leader="none" w:pos="6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is the purpose of the Plan?</w:t>
      </w:r>
    </w:p>
    <w:p>
      <w:pPr>
        <w:spacing w:after="0" w:line="117" w:lineRule="exact"/>
        <w:rPr>
          <w:rFonts w:ascii="Arial" w:cs="Arial" w:eastAsia="Arial" w:hAnsi="Arial"/>
          <w:sz w:val="18"/>
          <w:szCs w:val="18"/>
          <w:b w:val="1"/>
          <w:bCs w:val="1"/>
          <w:i w:val="1"/>
          <w:iCs w:val="1"/>
          <w:color w:val="auto"/>
        </w:rPr>
      </w:pPr>
    </w:p>
    <w:p>
      <w:pPr>
        <w:ind w:left="6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purpose of the Plan is to provide to our shareholders a simple and convenient method of investing in our Common Stock. Shares of Common Stock purchased under the Plan will be either authorized but unissued shares purchased from us or outstanding shares purchased in the open market or through negotiated transactions by the Plan Administrator. The decision to purchase shares in the open market will depend upon the financial requirements of the Company.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FEATURES</w:t>
      </w:r>
    </w:p>
    <w:p>
      <w:pPr>
        <w:spacing w:after="0" w:line="135" w:lineRule="exact"/>
        <w:rPr>
          <w:sz w:val="20"/>
          <w:szCs w:val="20"/>
          <w:color w:val="auto"/>
        </w:rPr>
      </w:pPr>
    </w:p>
    <w:p>
      <w:pPr>
        <w:ind w:left="640" w:hanging="436"/>
        <w:spacing w:after="0"/>
        <w:tabs>
          <w:tab w:leader="none" w:pos="6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the features of the Plan?</w:t>
      </w:r>
    </w:p>
    <w:p>
      <w:pPr>
        <w:spacing w:after="0" w:line="126" w:lineRule="exact"/>
        <w:rPr>
          <w:rFonts w:ascii="Arial" w:cs="Arial" w:eastAsia="Arial" w:hAnsi="Arial"/>
          <w:sz w:val="18"/>
          <w:szCs w:val="18"/>
          <w:b w:val="1"/>
          <w:bCs w:val="1"/>
          <w:i w:val="1"/>
          <w:iCs w:val="1"/>
          <w:color w:val="auto"/>
        </w:rPr>
      </w:pPr>
    </w:p>
    <w:p>
      <w:pPr>
        <w:ind w:left="1180" w:hanging="436"/>
        <w:spacing w:after="0" w:line="281" w:lineRule="auto"/>
        <w:tabs>
          <w:tab w:leader="none" w:pos="1180" w:val="left"/>
        </w:tabs>
        <w:numPr>
          <w:ilvl w:val="1"/>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Initial Investment/Enrollment. </w:t>
      </w:r>
      <w:r>
        <w:rPr>
          <w:rFonts w:ascii="Arial" w:cs="Arial" w:eastAsia="Arial" w:hAnsi="Arial"/>
          <w:sz w:val="17"/>
          <w:szCs w:val="17"/>
          <w:color w:val="auto"/>
        </w:rPr>
        <w:t>If you are not currently a shareholder, you can make an initial investment in our Common Stock, starting</w:t>
      </w:r>
      <w:r>
        <w:rPr>
          <w:rFonts w:ascii="Arial" w:cs="Arial" w:eastAsia="Arial" w:hAnsi="Arial"/>
          <w:sz w:val="17"/>
          <w:szCs w:val="17"/>
          <w:b w:val="1"/>
          <w:bCs w:val="1"/>
          <w:color w:val="auto"/>
        </w:rPr>
        <w:t xml:space="preserve"> </w:t>
      </w:r>
      <w:r>
        <w:rPr>
          <w:rFonts w:ascii="Arial" w:cs="Arial" w:eastAsia="Arial" w:hAnsi="Arial"/>
          <w:sz w:val="17"/>
          <w:szCs w:val="17"/>
          <w:color w:val="auto"/>
        </w:rPr>
        <w:t>with as little as $250. Southwest Gas Holdings will pay any brokerage fees or commissions in connection with the purchase of shares through the Plan except for the enrollment fee. You will, in all events, be responsible for brokerage fees or commissions payable on the sale of shares of our Common Stock by the Plan Administrator under the Plan pursuant to your instructions.</w:t>
      </w:r>
    </w:p>
    <w:p>
      <w:pPr>
        <w:spacing w:after="0" w:line="70" w:lineRule="exact"/>
        <w:rPr>
          <w:rFonts w:ascii="Arial" w:cs="Arial" w:eastAsia="Arial" w:hAnsi="Arial"/>
          <w:sz w:val="17"/>
          <w:szCs w:val="17"/>
          <w:color w:val="auto"/>
        </w:rPr>
      </w:pPr>
    </w:p>
    <w:p>
      <w:pPr>
        <w:ind w:left="1180" w:right="80" w:hanging="436"/>
        <w:spacing w:after="0" w:line="266" w:lineRule="auto"/>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Investments. </w:t>
      </w:r>
      <w:r>
        <w:rPr>
          <w:rFonts w:ascii="Arial" w:cs="Arial" w:eastAsia="Arial" w:hAnsi="Arial"/>
          <w:sz w:val="18"/>
          <w:szCs w:val="18"/>
          <w:color w:val="auto"/>
        </w:rPr>
        <w:t>Participants in the Plan may invest up to $100,000 per calendar year (minimum optional cash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$25) through optional cash payments for shares of Common Stock. Southwest Gas Holdings may agree in its sole discretion to waive the limit and permit investments greater than $100,000 in a calendar year.</w:t>
      </w:r>
    </w:p>
    <w:p>
      <w:pPr>
        <w:spacing w:after="0" w:line="81" w:lineRule="exact"/>
        <w:rPr>
          <w:rFonts w:ascii="Arial" w:cs="Arial" w:eastAsia="Arial" w:hAnsi="Arial"/>
          <w:sz w:val="18"/>
          <w:szCs w:val="18"/>
          <w:color w:val="auto"/>
        </w:rPr>
      </w:pPr>
    </w:p>
    <w:p>
      <w:pPr>
        <w:jc w:val="both"/>
        <w:ind w:left="1180" w:hanging="436"/>
        <w:spacing w:after="0" w:line="314" w:lineRule="auto"/>
        <w:tabs>
          <w:tab w:leader="none" w:pos="1180" w:val="left"/>
        </w:tabs>
        <w:numPr>
          <w:ilvl w:val="1"/>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Automatic Reinvestment of Dividends. </w:t>
      </w:r>
      <w:r>
        <w:rPr>
          <w:rFonts w:ascii="Arial" w:cs="Arial" w:eastAsia="Arial" w:hAnsi="Arial"/>
          <w:sz w:val="16"/>
          <w:szCs w:val="16"/>
          <w:color w:val="auto"/>
        </w:rPr>
        <w:t>You can also increase your holdings of Common Stock through automatic reinvestment of all or</w:t>
      </w:r>
      <w:r>
        <w:rPr>
          <w:rFonts w:ascii="Arial" w:cs="Arial" w:eastAsia="Arial" w:hAnsi="Arial"/>
          <w:sz w:val="16"/>
          <w:szCs w:val="16"/>
          <w:b w:val="1"/>
          <w:bCs w:val="1"/>
          <w:color w:val="auto"/>
        </w:rPr>
        <w:t xml:space="preserve"> </w:t>
      </w:r>
      <w:r>
        <w:rPr>
          <w:rFonts w:ascii="Arial" w:cs="Arial" w:eastAsia="Arial" w:hAnsi="Arial"/>
          <w:sz w:val="16"/>
          <w:szCs w:val="16"/>
          <w:color w:val="auto"/>
        </w:rPr>
        <w:t>some of your cash dividends. You can elect to reinvest all or a percentage of your dividends in Common Stock. The Plan participants may have cash dividends that are not reinvested deposited directly into a designated account with a U.S. or Canadian financial institution.</w:t>
      </w:r>
    </w:p>
    <w:p>
      <w:pPr>
        <w:spacing w:after="0" w:line="47" w:lineRule="exact"/>
        <w:rPr>
          <w:rFonts w:ascii="Arial" w:cs="Arial" w:eastAsia="Arial" w:hAnsi="Arial"/>
          <w:sz w:val="16"/>
          <w:szCs w:val="16"/>
          <w:color w:val="auto"/>
        </w:rPr>
      </w:pPr>
    </w:p>
    <w:p>
      <w:pPr>
        <w:ind w:left="1180" w:right="300" w:hanging="436"/>
        <w:spacing w:after="0" w:line="282" w:lineRule="auto"/>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Automated Transactions. </w:t>
      </w:r>
      <w:r>
        <w:rPr>
          <w:rFonts w:ascii="Arial" w:cs="Arial" w:eastAsia="Arial" w:hAnsi="Arial"/>
          <w:sz w:val="18"/>
          <w:szCs w:val="18"/>
          <w:color w:val="auto"/>
        </w:rPr>
        <w:t>You can execute many of your Plan transactions online at</w:t>
      </w:r>
      <w:r>
        <w:rPr>
          <w:rFonts w:ascii="Arial" w:cs="Arial" w:eastAsia="Arial" w:hAnsi="Arial"/>
          <w:sz w:val="18"/>
          <w:szCs w:val="18"/>
          <w:b w:val="1"/>
          <w:bCs w:val="1"/>
          <w:color w:val="auto"/>
        </w:rPr>
        <w:t xml:space="preserve"> shareowneronline.com </w:t>
      </w:r>
      <w:r>
        <w:rPr>
          <w:rFonts w:ascii="Arial" w:cs="Arial" w:eastAsia="Arial" w:hAnsi="Arial"/>
          <w:sz w:val="18"/>
          <w:szCs w:val="18"/>
          <w:color w:val="auto"/>
        </w:rPr>
        <w:t>or by phone if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automated privileges.</w:t>
      </w:r>
    </w:p>
    <w:p>
      <w:pPr>
        <w:spacing w:after="0" w:line="67" w:lineRule="exact"/>
        <w:rPr>
          <w:rFonts w:ascii="Arial" w:cs="Arial" w:eastAsia="Arial" w:hAnsi="Arial"/>
          <w:sz w:val="18"/>
          <w:szCs w:val="18"/>
          <w:color w:val="auto"/>
        </w:rPr>
      </w:pPr>
    </w:p>
    <w:p>
      <w:pPr>
        <w:jc w:val="both"/>
        <w:ind w:left="1180" w:right="100" w:hanging="436"/>
        <w:spacing w:after="0" w:line="266" w:lineRule="auto"/>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Minimum Share Balance Requirement. </w:t>
      </w:r>
      <w:r>
        <w:rPr>
          <w:rFonts w:ascii="Arial" w:cs="Arial" w:eastAsia="Arial" w:hAnsi="Arial"/>
          <w:sz w:val="18"/>
          <w:szCs w:val="18"/>
          <w:color w:val="auto"/>
        </w:rPr>
        <w:t>Participants must maintain a balance of at least one share to keep their Plan account open.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Administrator reserves the right to sell, without prior notification, all partial shares in an account in which the share balance fails to meet the one-share minimum requirement after 12 months of participation in the Plan.</w:t>
      </w:r>
    </w:p>
    <w:p>
      <w:pPr>
        <w:spacing w:after="0" w:line="2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ADMINISTRATION</w:t>
      </w:r>
    </w:p>
    <w:p>
      <w:pPr>
        <w:spacing w:after="0" w:line="135" w:lineRule="exact"/>
        <w:rPr>
          <w:sz w:val="20"/>
          <w:szCs w:val="20"/>
          <w:color w:val="auto"/>
        </w:rPr>
      </w:pPr>
    </w:p>
    <w:p>
      <w:pPr>
        <w:ind w:left="640" w:hanging="436"/>
        <w:spacing w:after="0"/>
        <w:tabs>
          <w:tab w:leader="none" w:pos="6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administers the Plan?</w:t>
      </w:r>
    </w:p>
    <w:p>
      <w:pPr>
        <w:spacing w:after="0" w:line="117" w:lineRule="exact"/>
        <w:rPr>
          <w:rFonts w:ascii="Arial" w:cs="Arial" w:eastAsia="Arial" w:hAnsi="Arial"/>
          <w:sz w:val="18"/>
          <w:szCs w:val="18"/>
          <w:b w:val="1"/>
          <w:bCs w:val="1"/>
          <w:i w:val="1"/>
          <w:iCs w:val="1"/>
          <w:color w:val="auto"/>
        </w:rPr>
      </w:pPr>
    </w:p>
    <w:p>
      <w:pPr>
        <w:ind w:left="640" w:right="40"/>
        <w:spacing w:after="0" w:line="279" w:lineRule="auto"/>
        <w:rPr>
          <w:rFonts w:ascii="Arial" w:cs="Arial" w:eastAsia="Arial" w:hAnsi="Arial"/>
          <w:sz w:val="18"/>
          <w:szCs w:val="18"/>
          <w:b w:val="1"/>
          <w:bCs w:val="1"/>
          <w:i w:val="1"/>
          <w:iCs w:val="1"/>
          <w:color w:val="auto"/>
        </w:rPr>
      </w:pPr>
      <w:r>
        <w:rPr>
          <w:rFonts w:ascii="Arial" w:cs="Arial" w:eastAsia="Arial" w:hAnsi="Arial"/>
          <w:sz w:val="17"/>
          <w:szCs w:val="17"/>
          <w:color w:val="auto"/>
        </w:rPr>
        <w:t>Equiniti Trust Company d/b/a EQ Shareowner Services (the “Plan Administrator” or “EQ”), administers the Plan as agent for the participating shareholders, keeps records, sends statements of account to participants and performs other duties relating to the Plan. Common Stock purchased under the Plan will be registered in the name of EQ Shareowner Services, as Plan Administrator, or EQ Shareowner Services’ nominee as agent for participants in the Plan. EQ is the transfer agent and registrar for the Common Stock.</w:t>
      </w:r>
    </w:p>
    <w:p>
      <w:pPr>
        <w:spacing w:after="0" w:line="1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24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Plan Administrator contact information is as follows: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Internet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shareowneronline.com</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Available 24 hours a day, 7 days a week for access to account information and answers to many common questions and general inquiries.</w:t>
      </w:r>
    </w:p>
    <w:p>
      <w:pPr>
        <w:spacing w:after="0" w:line="329"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To enroll in the Plan:</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If you are an existing registered shareowner:</w:t>
      </w:r>
    </w:p>
    <w:p>
      <w:pPr>
        <w:spacing w:after="0" w:line="127" w:lineRule="exact"/>
        <w:rPr>
          <w:sz w:val="20"/>
          <w:szCs w:val="20"/>
          <w:color w:val="auto"/>
        </w:rPr>
      </w:pPr>
    </w:p>
    <w:p>
      <w:pPr>
        <w:ind w:left="2180" w:hanging="545"/>
        <w:spacing w:after="0"/>
        <w:tabs>
          <w:tab w:leader="none" w:pos="21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shareowneronline.com</w:t>
      </w:r>
    </w:p>
    <w:p>
      <w:pPr>
        <w:spacing w:after="0" w:line="130" w:lineRule="exact"/>
        <w:rPr>
          <w:rFonts w:ascii="Arial" w:cs="Arial" w:eastAsia="Arial" w:hAnsi="Arial"/>
          <w:sz w:val="18"/>
          <w:szCs w:val="18"/>
          <w:b w:val="1"/>
          <w:bCs w:val="1"/>
          <w:color w:val="auto"/>
        </w:rPr>
      </w:pPr>
    </w:p>
    <w:p>
      <w:pPr>
        <w:ind w:left="2180" w:hanging="545"/>
        <w:spacing w:after="0"/>
        <w:tabs>
          <w:tab w:leader="none" w:pos="2180" w:val="left"/>
        </w:tabs>
        <w:numPr>
          <w:ilvl w:val="1"/>
          <w:numId w:val="7"/>
        </w:numPr>
        <w:rPr>
          <w:rFonts w:ascii="Arial" w:cs="Arial" w:eastAsia="Arial" w:hAnsi="Arial"/>
          <w:sz w:val="18"/>
          <w:szCs w:val="18"/>
          <w:b w:val="1"/>
          <w:bCs w:val="1"/>
          <w:color w:val="auto"/>
        </w:rPr>
      </w:pPr>
      <w:r>
        <w:rPr>
          <w:rFonts w:ascii="Arial" w:cs="Arial" w:eastAsia="Arial" w:hAnsi="Arial"/>
          <w:sz w:val="18"/>
          <w:szCs w:val="18"/>
          <w:color w:val="auto"/>
        </w:rPr>
        <w:t xml:space="preserve">Select </w:t>
      </w:r>
      <w:r>
        <w:rPr>
          <w:rFonts w:ascii="Arial" w:cs="Arial" w:eastAsia="Arial" w:hAnsi="Arial"/>
          <w:sz w:val="18"/>
          <w:szCs w:val="18"/>
          <w:b w:val="1"/>
          <w:bCs w:val="1"/>
          <w:color w:val="auto"/>
        </w:rPr>
        <w:t>Sign Up Now!</w:t>
      </w:r>
    </w:p>
    <w:p>
      <w:pPr>
        <w:spacing w:after="0" w:line="134" w:lineRule="exact"/>
        <w:rPr>
          <w:rFonts w:ascii="Arial" w:cs="Arial" w:eastAsia="Arial" w:hAnsi="Arial"/>
          <w:sz w:val="18"/>
          <w:szCs w:val="18"/>
          <w:b w:val="1"/>
          <w:bCs w:val="1"/>
          <w:color w:val="auto"/>
        </w:rPr>
      </w:pPr>
    </w:p>
    <w:p>
      <w:pPr>
        <w:ind w:left="2180" w:hanging="545"/>
        <w:spacing w:after="0"/>
        <w:tabs>
          <w:tab w:leader="none" w:pos="2180" w:val="left"/>
        </w:tabs>
        <w:numPr>
          <w:ilvl w:val="1"/>
          <w:numId w:val="7"/>
        </w:numPr>
        <w:rPr>
          <w:rFonts w:ascii="Arial" w:cs="Arial" w:eastAsia="Arial" w:hAnsi="Arial"/>
          <w:sz w:val="18"/>
          <w:szCs w:val="18"/>
          <w:color w:val="auto"/>
        </w:rPr>
      </w:pPr>
      <w:r>
        <w:rPr>
          <w:rFonts w:ascii="Arial" w:cs="Arial" w:eastAsia="Arial" w:hAnsi="Arial"/>
          <w:sz w:val="18"/>
          <w:szCs w:val="18"/>
          <w:color w:val="auto"/>
        </w:rPr>
        <w:t>Enter your Authentication ID* and Account Number</w:t>
      </w:r>
    </w:p>
    <w:p>
      <w:pPr>
        <w:spacing w:after="0" w:line="126"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6"/>
          <w:szCs w:val="16"/>
          <w:color w:val="auto"/>
        </w:rPr>
        <w:t xml:space="preserve">*  If you do not have your Authentication ID, select </w:t>
      </w:r>
      <w:r>
        <w:rPr>
          <w:rFonts w:ascii="Arial" w:cs="Arial" w:eastAsia="Arial" w:hAnsi="Arial"/>
          <w:sz w:val="16"/>
          <w:szCs w:val="16"/>
          <w:b w:val="1"/>
          <w:bCs w:val="1"/>
          <w:color w:val="auto"/>
        </w:rPr>
        <w:t>I do not have my Authentication ID</w:t>
      </w:r>
      <w:r>
        <w:rPr>
          <w:rFonts w:ascii="Arial" w:cs="Arial" w:eastAsia="Arial" w:hAnsi="Arial"/>
          <w:sz w:val="16"/>
          <w:szCs w:val="16"/>
          <w:color w:val="auto"/>
        </w:rPr>
        <w:t>. For security, this number is required for first time sign on.</w:t>
      </w:r>
    </w:p>
    <w:p>
      <w:pPr>
        <w:spacing w:after="0" w:line="252" w:lineRule="exact"/>
        <w:rPr>
          <w:sz w:val="20"/>
          <w:szCs w:val="20"/>
          <w:color w:val="auto"/>
        </w:rPr>
      </w:pPr>
    </w:p>
    <w:p>
      <w:pPr>
        <w:ind w:left="1640"/>
        <w:spacing w:after="0"/>
        <w:rPr>
          <w:sz w:val="20"/>
          <w:szCs w:val="20"/>
          <w:color w:val="auto"/>
        </w:rPr>
      </w:pPr>
      <w:r>
        <w:rPr>
          <w:rFonts w:ascii="Arial" w:cs="Arial" w:eastAsia="Arial" w:hAnsi="Arial"/>
          <w:sz w:val="18"/>
          <w:szCs w:val="18"/>
          <w:i w:val="1"/>
          <w:iCs w:val="1"/>
          <w:color w:val="auto"/>
        </w:rPr>
        <w:t>If you are a new investor:</w:t>
      </w:r>
    </w:p>
    <w:p>
      <w:pPr>
        <w:spacing w:after="0" w:line="127" w:lineRule="exact"/>
        <w:rPr>
          <w:sz w:val="20"/>
          <w:szCs w:val="20"/>
          <w:color w:val="auto"/>
        </w:rPr>
      </w:pPr>
    </w:p>
    <w:p>
      <w:pPr>
        <w:ind w:left="2180" w:hanging="545"/>
        <w:spacing w:after="0"/>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shareowneronline.com</w:t>
      </w:r>
    </w:p>
    <w:p>
      <w:pPr>
        <w:spacing w:after="0" w:line="130" w:lineRule="exact"/>
        <w:rPr>
          <w:rFonts w:ascii="Arial" w:cs="Arial" w:eastAsia="Arial" w:hAnsi="Arial"/>
          <w:sz w:val="18"/>
          <w:szCs w:val="18"/>
          <w:b w:val="1"/>
          <w:bCs w:val="1"/>
          <w:color w:val="auto"/>
        </w:rPr>
      </w:pPr>
    </w:p>
    <w:p>
      <w:pPr>
        <w:ind w:left="2180" w:hanging="545"/>
        <w:spacing w:after="0"/>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Under </w:t>
      </w:r>
      <w:r>
        <w:rPr>
          <w:rFonts w:ascii="Arial" w:cs="Arial" w:eastAsia="Arial" w:hAnsi="Arial"/>
          <w:sz w:val="18"/>
          <w:szCs w:val="18"/>
          <w:b w:val="1"/>
          <w:bCs w:val="1"/>
          <w:color w:val="auto"/>
        </w:rPr>
        <w:t>Invest in a Plan,</w:t>
      </w:r>
      <w:r>
        <w:rPr>
          <w:rFonts w:ascii="Arial" w:cs="Arial" w:eastAsia="Arial" w:hAnsi="Arial"/>
          <w:sz w:val="18"/>
          <w:szCs w:val="18"/>
          <w:color w:val="auto"/>
        </w:rPr>
        <w:t xml:space="preserve"> select </w:t>
      </w:r>
      <w:r>
        <w:rPr>
          <w:rFonts w:ascii="Arial" w:cs="Arial" w:eastAsia="Arial" w:hAnsi="Arial"/>
          <w:sz w:val="18"/>
          <w:szCs w:val="18"/>
          <w:b w:val="1"/>
          <w:bCs w:val="1"/>
          <w:color w:val="auto"/>
        </w:rPr>
        <w:t>Direct Purchase Plan</w:t>
      </w:r>
    </w:p>
    <w:p>
      <w:pPr>
        <w:spacing w:after="0" w:line="130" w:lineRule="exact"/>
        <w:rPr>
          <w:rFonts w:ascii="Arial" w:cs="Arial" w:eastAsia="Arial" w:hAnsi="Arial"/>
          <w:sz w:val="18"/>
          <w:szCs w:val="18"/>
          <w:b w:val="1"/>
          <w:bCs w:val="1"/>
          <w:color w:val="auto"/>
        </w:rPr>
      </w:pPr>
    </w:p>
    <w:p>
      <w:pPr>
        <w:ind w:left="2180" w:hanging="545"/>
        <w:spacing w:after="0"/>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Select </w:t>
      </w:r>
      <w:r>
        <w:rPr>
          <w:rFonts w:ascii="Arial" w:cs="Arial" w:eastAsia="Arial" w:hAnsi="Arial"/>
          <w:sz w:val="18"/>
          <w:szCs w:val="18"/>
          <w:b w:val="1"/>
          <w:bCs w:val="1"/>
          <w:color w:val="auto"/>
        </w:rPr>
        <w:t>Southwest Gas Holdings, Inc.</w:t>
      </w:r>
    </w:p>
    <w:p>
      <w:pPr>
        <w:spacing w:after="0" w:line="130" w:lineRule="exact"/>
        <w:rPr>
          <w:rFonts w:ascii="Arial" w:cs="Arial" w:eastAsia="Arial" w:hAnsi="Arial"/>
          <w:sz w:val="18"/>
          <w:szCs w:val="18"/>
          <w:b w:val="1"/>
          <w:bCs w:val="1"/>
          <w:color w:val="auto"/>
        </w:rPr>
      </w:pPr>
    </w:p>
    <w:p>
      <w:pPr>
        <w:ind w:left="2180" w:hanging="545"/>
        <w:spacing w:after="0"/>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Under </w:t>
      </w:r>
      <w:r>
        <w:rPr>
          <w:rFonts w:ascii="Arial" w:cs="Arial" w:eastAsia="Arial" w:hAnsi="Arial"/>
          <w:sz w:val="18"/>
          <w:szCs w:val="18"/>
          <w:b w:val="1"/>
          <w:bCs w:val="1"/>
          <w:color w:val="auto"/>
        </w:rPr>
        <w:t>New Investors,</w:t>
      </w:r>
      <w:r>
        <w:rPr>
          <w:rFonts w:ascii="Arial" w:cs="Arial" w:eastAsia="Arial" w:hAnsi="Arial"/>
          <w:sz w:val="18"/>
          <w:szCs w:val="18"/>
          <w:color w:val="auto"/>
        </w:rPr>
        <w:t xml:space="preserve"> select </w:t>
      </w:r>
      <w:r>
        <w:rPr>
          <w:rFonts w:ascii="Arial" w:cs="Arial" w:eastAsia="Arial" w:hAnsi="Arial"/>
          <w:sz w:val="18"/>
          <w:szCs w:val="18"/>
          <w:b w:val="1"/>
          <w:bCs w:val="1"/>
          <w:color w:val="auto"/>
        </w:rPr>
        <w:t>Invest Now</w:t>
      </w:r>
    </w:p>
    <w:p>
      <w:pPr>
        <w:spacing w:after="0" w:line="130" w:lineRule="exact"/>
        <w:rPr>
          <w:rFonts w:ascii="Arial" w:cs="Arial" w:eastAsia="Arial" w:hAnsi="Arial"/>
          <w:sz w:val="18"/>
          <w:szCs w:val="18"/>
          <w:b w:val="1"/>
          <w:bCs w:val="1"/>
          <w:color w:val="auto"/>
        </w:rPr>
      </w:pPr>
    </w:p>
    <w:p>
      <w:pPr>
        <w:ind w:left="2180" w:hanging="545"/>
        <w:spacing w:after="0"/>
        <w:tabs>
          <w:tab w:leader="none" w:pos="218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 xml:space="preserve">Follow instructions under </w:t>
      </w:r>
      <w:r>
        <w:rPr>
          <w:rFonts w:ascii="Arial" w:cs="Arial" w:eastAsia="Arial" w:hAnsi="Arial"/>
          <w:sz w:val="18"/>
          <w:szCs w:val="18"/>
          <w:b w:val="1"/>
          <w:bCs w:val="1"/>
          <w:color w:val="auto"/>
        </w:rPr>
        <w:t>Buy Shares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Email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Go to </w:t>
      </w:r>
      <w:r>
        <w:rPr>
          <w:rFonts w:ascii="Arial" w:cs="Arial" w:eastAsia="Arial" w:hAnsi="Arial"/>
          <w:sz w:val="18"/>
          <w:szCs w:val="18"/>
          <w:b w:val="1"/>
          <w:bCs w:val="1"/>
          <w:color w:val="auto"/>
        </w:rPr>
        <w:t>shareowneronline.com</w:t>
      </w:r>
      <w:r>
        <w:rPr>
          <w:rFonts w:ascii="Arial" w:cs="Arial" w:eastAsia="Arial" w:hAnsi="Arial"/>
          <w:sz w:val="18"/>
          <w:szCs w:val="18"/>
          <w:color w:val="auto"/>
        </w:rPr>
        <w:t xml:space="preserve"> and select </w:t>
      </w:r>
      <w:r>
        <w:rPr>
          <w:rFonts w:ascii="Arial" w:cs="Arial" w:eastAsia="Arial" w:hAnsi="Arial"/>
          <w:sz w:val="18"/>
          <w:szCs w:val="18"/>
          <w:b w:val="1"/>
          <w:bCs w:val="1"/>
          <w:color w:val="auto"/>
        </w:rPr>
        <w:t>Contact Us</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Telephone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1-800-331-1119 Toll-Free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651-450-4064 outside the United States</w:t>
      </w:r>
    </w:p>
    <w:p>
      <w:pPr>
        <w:spacing w:after="0" w:line="103"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color w:val="auto"/>
        </w:rPr>
        <w:t>Shareowner Relations Specialists are available Monday through Friday, from 7:00 a.m. to 7:00 p.m. Central Time. You may also access your account information 24 hours a day, 7 days a week using our automated voice response system.</w:t>
      </w:r>
    </w:p>
    <w:p>
      <w:pPr>
        <w:spacing w:after="0" w:line="319" w:lineRule="exact"/>
        <w:rPr>
          <w:sz w:val="20"/>
          <w:szCs w:val="20"/>
          <w:color w:val="auto"/>
        </w:rPr>
      </w:pPr>
    </w:p>
    <w:p>
      <w:pPr>
        <w:ind w:left="640" w:hanging="436"/>
        <w:spacing w:after="0"/>
        <w:tabs>
          <w:tab w:leader="none" w:pos="6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Where should I send my correspondence regarding the Plan?</w:t>
      </w:r>
    </w:p>
    <w:p>
      <w:pPr>
        <w:spacing w:after="0" w:line="117" w:lineRule="exact"/>
        <w:rPr>
          <w:rFonts w:ascii="Arial" w:cs="Arial" w:eastAsia="Arial" w:hAnsi="Arial"/>
          <w:sz w:val="18"/>
          <w:szCs w:val="18"/>
          <w:b w:val="1"/>
          <w:bCs w:val="1"/>
          <w:i w:val="1"/>
          <w:iCs w:val="1"/>
          <w:color w:val="auto"/>
        </w:rPr>
      </w:pPr>
    </w:p>
    <w:p>
      <w:pPr>
        <w:ind w:left="6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You should direct and send all correspondence regarding the Plan to:</w:t>
      </w:r>
    </w:p>
    <w:p>
      <w:pPr>
        <w:spacing w:after="0" w:line="329" w:lineRule="exact"/>
        <w:rPr>
          <w:rFonts w:ascii="Arial" w:cs="Arial" w:eastAsia="Arial" w:hAnsi="Arial"/>
          <w:sz w:val="18"/>
          <w:szCs w:val="18"/>
          <w:b w:val="1"/>
          <w:bCs w:val="1"/>
          <w:i w:val="1"/>
          <w:iCs w:val="1"/>
          <w:color w:val="auto"/>
        </w:rPr>
      </w:pPr>
    </w:p>
    <w:p>
      <w:pPr>
        <w:ind w:left="640"/>
        <w:spacing w:after="0"/>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Written correspondence and deposit of certificated shares*:</w:t>
      </w:r>
    </w:p>
    <w:p>
      <w:pPr>
        <w:spacing w:after="0" w:line="121" w:lineRule="exact"/>
        <w:rPr>
          <w:rFonts w:ascii="Arial" w:cs="Arial" w:eastAsia="Arial" w:hAnsi="Arial"/>
          <w:sz w:val="18"/>
          <w:szCs w:val="18"/>
          <w:b w:val="1"/>
          <w:bCs w:val="1"/>
          <w:i w:val="1"/>
          <w:iCs w:val="1"/>
          <w:color w:val="auto"/>
        </w:rPr>
      </w:pPr>
    </w:p>
    <w:p>
      <w:pPr>
        <w:ind w:left="640" w:right="864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color w:val="auto"/>
        </w:rPr>
        <w:t>EQ Shareowner Services P.O. Box 64856</w:t>
      </w:r>
    </w:p>
    <w:p>
      <w:pPr>
        <w:ind w:left="6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St. Paul, MN 55164-0856</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080"/>
          </w:cols>
          <w:pgMar w:left="240" w:top="459" w:right="5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Certified and overnight delivery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EQ Shareowner Services 1110 Centre</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Pointe Curve, Suite 101 Mendota</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Heights, MN 55120-4100</w:t>
      </w:r>
    </w:p>
    <w:p>
      <w:pPr>
        <w:spacing w:after="0" w:line="11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  If sending in a certificate for deposit, see </w:t>
      </w:r>
      <w:r>
        <w:rPr>
          <w:rFonts w:ascii="Arial" w:cs="Arial" w:eastAsia="Arial" w:hAnsi="Arial"/>
          <w:sz w:val="18"/>
          <w:szCs w:val="18"/>
          <w:b w:val="1"/>
          <w:bCs w:val="1"/>
          <w:color w:val="auto"/>
        </w:rPr>
        <w:t>Certificate Deposit and Withdrawal</w:t>
      </w:r>
      <w:r>
        <w:rPr>
          <w:rFonts w:ascii="Arial" w:cs="Arial" w:eastAsia="Arial" w:hAnsi="Arial"/>
          <w:sz w:val="18"/>
          <w:szCs w:val="18"/>
          <w:color w:val="auto"/>
        </w:rPr>
        <w:t xml:space="preserve"> information.</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color w:val="auto"/>
        </w:rPr>
        <w:t>Please include your name, address, daytime telephone number, and your account number and specify “Southwest Gas Holdings, Inc.” on all correspondence.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w:t>
      </w:r>
    </w:p>
    <w:p>
      <w:pPr>
        <w:spacing w:after="0" w:line="135"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may participate in the Plan?</w:t>
      </w:r>
    </w:p>
    <w:p>
      <w:pPr>
        <w:spacing w:after="0" w:line="117" w:lineRule="exact"/>
        <w:rPr>
          <w:rFonts w:ascii="Arial" w:cs="Arial" w:eastAsia="Arial" w:hAnsi="Arial"/>
          <w:sz w:val="18"/>
          <w:szCs w:val="18"/>
          <w:b w:val="1"/>
          <w:bCs w:val="1"/>
          <w:i w:val="1"/>
          <w:iCs w:val="1"/>
          <w:color w:val="auto"/>
        </w:rPr>
      </w:pPr>
    </w:p>
    <w:p>
      <w:pPr>
        <w:ind w:left="640" w:right="4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color w:val="auto"/>
        </w:rPr>
        <w:t>Almost everyone is eligible to enroll in the Plan. If you are an interested investor, you may participate in the Plan if you already own Southwest Gas Holdings Common Stock. If you do not already own shares, as a new investor, you may make your initial purchase of shares directly through the Plan. If you live outside of the United States, you should determine if there are any laws or governmental regulations that would prohibit your participation in the Plan.</w:t>
      </w:r>
    </w:p>
    <w:p>
      <w:pPr>
        <w:spacing w:after="0" w:line="74" w:lineRule="exact"/>
        <w:rPr>
          <w:rFonts w:ascii="Arial" w:cs="Arial" w:eastAsia="Arial" w:hAnsi="Arial"/>
          <w:sz w:val="18"/>
          <w:szCs w:val="18"/>
          <w:b w:val="1"/>
          <w:bCs w:val="1"/>
          <w:i w:val="1"/>
          <w:iCs w:val="1"/>
          <w:color w:val="auto"/>
        </w:rPr>
      </w:pPr>
    </w:p>
    <w:p>
      <w:pPr>
        <w:ind w:left="640" w:right="760"/>
        <w:spacing w:after="0" w:line="282"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If you have any questions or if you would like to enroll, simply visit our website at </w:t>
      </w:r>
      <w:r>
        <w:rPr>
          <w:rFonts w:ascii="Arial" w:cs="Arial" w:eastAsia="Arial" w:hAnsi="Arial"/>
          <w:sz w:val="18"/>
          <w:szCs w:val="18"/>
          <w:b w:val="1"/>
          <w:bCs w:val="1"/>
          <w:color w:val="auto"/>
        </w:rPr>
        <w:t>shareowneronline.com</w:t>
      </w:r>
      <w:r>
        <w:rPr>
          <w:rFonts w:ascii="Arial" w:cs="Arial" w:eastAsia="Arial" w:hAnsi="Arial"/>
          <w:sz w:val="18"/>
          <w:szCs w:val="18"/>
          <w:color w:val="auto"/>
        </w:rPr>
        <w:t xml:space="preserve"> or contact EQ (see </w:t>
      </w:r>
      <w:r>
        <w:rPr>
          <w:rFonts w:ascii="Arial" w:cs="Arial" w:eastAsia="Arial" w:hAnsi="Arial"/>
          <w:sz w:val="18"/>
          <w:szCs w:val="18"/>
          <w:b w:val="1"/>
          <w:bCs w:val="1"/>
          <w:color w:val="auto"/>
        </w:rPr>
        <w:t>Contact</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w:t>
      </w:r>
      <w:r>
        <w:rPr>
          <w:rFonts w:ascii="Arial" w:cs="Arial" w:eastAsia="Arial" w:hAnsi="Arial"/>
          <w:sz w:val="18"/>
          <w:szCs w:val="18"/>
          <w:color w:val="auto"/>
        </w:rPr>
        <w:t>).</w:t>
      </w:r>
    </w:p>
    <w:p>
      <w:pPr>
        <w:spacing w:after="0" w:line="57" w:lineRule="exact"/>
        <w:rPr>
          <w:rFonts w:ascii="Arial" w:cs="Arial" w:eastAsia="Arial" w:hAnsi="Arial"/>
          <w:sz w:val="18"/>
          <w:szCs w:val="18"/>
          <w:b w:val="1"/>
          <w:bCs w:val="1"/>
          <w:i w:val="1"/>
          <w:iCs w:val="1"/>
          <w:color w:val="auto"/>
        </w:rPr>
      </w:pPr>
    </w:p>
    <w:p>
      <w:pPr>
        <w:jc w:val="both"/>
        <w:ind w:left="6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A Plan account may be opened in your name, jointly in your name and that of another person, in your name and that of a single beneficiary, in the name of your trust, or in your name as custodian for a minor or as trustee for another person by completing the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in the proper manner.</w:t>
      </w:r>
    </w:p>
    <w:p>
      <w:pPr>
        <w:spacing w:after="0" w:line="32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does an eligible individual join the Plan?</w:t>
      </w:r>
    </w:p>
    <w:p>
      <w:pPr>
        <w:spacing w:after="0" w:line="117" w:lineRule="exact"/>
        <w:rPr>
          <w:rFonts w:ascii="Arial" w:cs="Arial" w:eastAsia="Arial" w:hAnsi="Arial"/>
          <w:sz w:val="18"/>
          <w:szCs w:val="18"/>
          <w:b w:val="1"/>
          <w:bCs w:val="1"/>
          <w:i w:val="1"/>
          <w:iCs w:val="1"/>
          <w:color w:val="auto"/>
        </w:rPr>
      </w:pPr>
    </w:p>
    <w:p>
      <w:pPr>
        <w:ind w:left="640" w:right="8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Current shareholders holding in their own name. </w:t>
      </w:r>
      <w:r>
        <w:rPr>
          <w:rFonts w:ascii="Arial" w:cs="Arial" w:eastAsia="Arial" w:hAnsi="Arial"/>
          <w:sz w:val="18"/>
          <w:szCs w:val="18"/>
          <w:color w:val="auto"/>
        </w:rPr>
        <w:t>If you currently own shares of our Common Stock and the shares are registered in your name,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you may join the Plan by going online, by phone, or by signing an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and returning it to the Plan Administrator. The </w:t>
      </w:r>
      <w:r>
        <w:rPr>
          <w:rFonts w:ascii="Arial" w:cs="Arial" w:eastAsia="Arial" w:hAnsi="Arial"/>
          <w:sz w:val="18"/>
          <w:szCs w:val="18"/>
          <w:i w:val="1"/>
          <w:iCs w:val="1"/>
          <w:color w:val="auto"/>
        </w:rPr>
        <w:t xml:space="preserve">Account Authorization Form </w:t>
      </w:r>
      <w:r>
        <w:rPr>
          <w:rFonts w:ascii="Arial" w:cs="Arial" w:eastAsia="Arial" w:hAnsi="Arial"/>
          <w:sz w:val="18"/>
          <w:szCs w:val="18"/>
          <w:color w:val="auto"/>
        </w:rPr>
        <w:t>may be obtained online at</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shareowneronline.com</w:t>
      </w:r>
      <w:r>
        <w:rPr>
          <w:rFonts w:ascii="Arial" w:cs="Arial" w:eastAsia="Arial" w:hAnsi="Arial"/>
          <w:sz w:val="18"/>
          <w:szCs w:val="18"/>
          <w:color w:val="auto"/>
        </w:rPr>
        <w:t>, by submitting a written request to the Plan Administrator or by</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the Plan Administrator.</w:t>
      </w:r>
    </w:p>
    <w:p>
      <w:pPr>
        <w:spacing w:after="0" w:line="78" w:lineRule="exact"/>
        <w:rPr>
          <w:rFonts w:ascii="Arial" w:cs="Arial" w:eastAsia="Arial" w:hAnsi="Arial"/>
          <w:sz w:val="18"/>
          <w:szCs w:val="18"/>
          <w:b w:val="1"/>
          <w:bCs w:val="1"/>
          <w:i w:val="1"/>
          <w:iCs w:val="1"/>
          <w:color w:val="auto"/>
        </w:rPr>
      </w:pPr>
    </w:p>
    <w:p>
      <w:pPr>
        <w:ind w:left="640" w:right="14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b w:val="1"/>
          <w:bCs w:val="1"/>
          <w:i w:val="1"/>
          <w:iCs w:val="1"/>
          <w:color w:val="auto"/>
        </w:rPr>
        <w:t xml:space="preserve">Current shareholders holding through a bank, broker, or other nominee. </w:t>
      </w:r>
      <w:r>
        <w:rPr>
          <w:rFonts w:ascii="Arial" w:cs="Arial" w:eastAsia="Arial" w:hAnsi="Arial"/>
          <w:sz w:val="16"/>
          <w:szCs w:val="16"/>
          <w:color w:val="auto"/>
        </w:rPr>
        <w:t>If you currently own shares of our Common Stock and the shares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registered in the name of a bank, broker or other nominee, arrange for the bank, broker or other nominee to register in your name the number of shares of our Common Stock that you want to include in the Plan. You can then enroll as a shareholder of record, as described above. Once the Plan Administrator receives your transferred shares of Common Stock from your brokerage account, you will receive an account statement. Alternatively, if you do not want to re-register your shares of Common Stock, you can enroll in the Plan in the same manner as someone who is not currently a Southwest Gas Holdings shareholder. This will create a registered account in addition to your brokerage/bank account.</w:t>
      </w:r>
    </w:p>
    <w:p>
      <w:pPr>
        <w:spacing w:after="0" w:line="56" w:lineRule="exact"/>
        <w:rPr>
          <w:rFonts w:ascii="Arial" w:cs="Arial" w:eastAsia="Arial" w:hAnsi="Arial"/>
          <w:sz w:val="18"/>
          <w:szCs w:val="18"/>
          <w:b w:val="1"/>
          <w:bCs w:val="1"/>
          <w:i w:val="1"/>
          <w:iCs w:val="1"/>
          <w:color w:val="auto"/>
        </w:rPr>
      </w:pPr>
    </w:p>
    <w:p>
      <w:pPr>
        <w:ind w:left="640" w:right="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 xml:space="preserve">New investors who are not current shareholders. </w:t>
      </w:r>
      <w:r>
        <w:rPr>
          <w:rFonts w:ascii="Arial" w:cs="Arial" w:eastAsia="Arial" w:hAnsi="Arial"/>
          <w:sz w:val="17"/>
          <w:szCs w:val="17"/>
          <w:color w:val="auto"/>
        </w:rPr>
        <w:t>If you do not currently own shares of our Common Stock, you may join the Plan by going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online or by signing an </w:t>
      </w:r>
      <w:r>
        <w:rPr>
          <w:rFonts w:ascii="Arial" w:cs="Arial" w:eastAsia="Arial" w:hAnsi="Arial"/>
          <w:sz w:val="17"/>
          <w:szCs w:val="17"/>
          <w:i w:val="1"/>
          <w:iCs w:val="1"/>
          <w:color w:val="auto"/>
        </w:rPr>
        <w:t>Account Authorization Form</w:t>
      </w:r>
      <w:r>
        <w:rPr>
          <w:rFonts w:ascii="Arial" w:cs="Arial" w:eastAsia="Arial" w:hAnsi="Arial"/>
          <w:sz w:val="17"/>
          <w:szCs w:val="17"/>
          <w:color w:val="auto"/>
        </w:rPr>
        <w:t xml:space="preserve"> and returning it to the Plan Administrator. The </w:t>
      </w:r>
      <w:r>
        <w:rPr>
          <w:rFonts w:ascii="Arial" w:cs="Arial" w:eastAsia="Arial" w:hAnsi="Arial"/>
          <w:sz w:val="17"/>
          <w:szCs w:val="17"/>
          <w:i w:val="1"/>
          <w:iCs w:val="1"/>
          <w:color w:val="auto"/>
        </w:rPr>
        <w:t>Account Authorization Form</w:t>
      </w:r>
      <w:r>
        <w:rPr>
          <w:rFonts w:ascii="Arial" w:cs="Arial" w:eastAsia="Arial" w:hAnsi="Arial"/>
          <w:sz w:val="17"/>
          <w:szCs w:val="17"/>
          <w:color w:val="auto"/>
        </w:rPr>
        <w:t xml:space="preserve"> may be obtained online at </w:t>
      </w:r>
      <w:r>
        <w:rPr>
          <w:rFonts w:ascii="Arial" w:cs="Arial" w:eastAsia="Arial" w:hAnsi="Arial"/>
          <w:sz w:val="17"/>
          <w:szCs w:val="17"/>
          <w:b w:val="1"/>
          <w:bCs w:val="1"/>
          <w:color w:val="auto"/>
        </w:rPr>
        <w:t>shareowneronline.com</w:t>
      </w:r>
      <w:r>
        <w:rPr>
          <w:rFonts w:ascii="Arial" w:cs="Arial" w:eastAsia="Arial" w:hAnsi="Arial"/>
          <w:sz w:val="17"/>
          <w:szCs w:val="17"/>
          <w:color w:val="auto"/>
        </w:rPr>
        <w:t>, by submitting a written request to the Plan Administrator or by calling the Plan Administrator.</w:t>
      </w:r>
    </w:p>
    <w:p>
      <w:pPr>
        <w:spacing w:after="0" w:line="314"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can an eligible individual join the Plan?</w:t>
      </w:r>
    </w:p>
    <w:p>
      <w:pPr>
        <w:spacing w:after="0" w:line="117" w:lineRule="exact"/>
        <w:rPr>
          <w:rFonts w:ascii="Arial" w:cs="Arial" w:eastAsia="Arial" w:hAnsi="Arial"/>
          <w:sz w:val="18"/>
          <w:szCs w:val="18"/>
          <w:b w:val="1"/>
          <w:bCs w:val="1"/>
          <w:i w:val="1"/>
          <w:iCs w:val="1"/>
          <w:color w:val="auto"/>
        </w:rPr>
      </w:pPr>
    </w:p>
    <w:p>
      <w:pPr>
        <w:ind w:left="640" w:right="1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You may join the Plan at any time. If the Plan Administrator receives an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on or before the record date for a dividend payment, reinvestment of dividends will begin with that dividend. If the Plan Administrator receives an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after the record date, reinvestment of dividends will begin with the next dividend payment date.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80"/>
          </w:cols>
          <w:pgMar w:left="24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0"/>
        <w:spacing w:after="0" w:line="264" w:lineRule="auto"/>
        <w:rPr>
          <w:sz w:val="20"/>
          <w:szCs w:val="20"/>
          <w:color w:val="auto"/>
        </w:rPr>
      </w:pPr>
      <w:r>
        <w:rPr>
          <w:rFonts w:ascii="Arial" w:cs="Arial" w:eastAsia="Arial" w:hAnsi="Arial"/>
          <w:sz w:val="18"/>
          <w:szCs w:val="18"/>
          <w:color w:val="auto"/>
        </w:rPr>
        <w:t>An initial minimum investment received will be invested as of the next investment date (which occurs once a week, typically on Friday, “investment date”). Upon the purchase of shares of Common Stock with your initial minimum investment, you will become a Participant under the Plan.</w:t>
      </w:r>
    </w:p>
    <w:p>
      <w:pPr>
        <w:spacing w:after="0" w:line="330" w:lineRule="exact"/>
        <w:rPr>
          <w:sz w:val="20"/>
          <w:szCs w:val="20"/>
          <w:color w:val="auto"/>
        </w:rPr>
      </w:pPr>
    </w:p>
    <w:p>
      <w:pPr>
        <w:ind w:left="640" w:hanging="436"/>
        <w:spacing w:after="0"/>
        <w:tabs>
          <w:tab w:leader="none" w:pos="6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my Dividend Reinvestment Options?</w:t>
      </w:r>
    </w:p>
    <w:p>
      <w:pPr>
        <w:spacing w:after="0" w:line="117"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color w:val="auto"/>
        </w:rPr>
        <w:t>A participant can elect to reinvest all or a portion of the dividends payable (if any) to purchase additional shares of Southwest Gas Holdings Common Stock. The following describes the available options:</w:t>
      </w:r>
    </w:p>
    <w:p>
      <w:pPr>
        <w:spacing w:after="0" w:line="62" w:lineRule="exact"/>
        <w:rPr>
          <w:sz w:val="20"/>
          <w:szCs w:val="20"/>
          <w:color w:val="auto"/>
        </w:rPr>
      </w:pPr>
    </w:p>
    <w:p>
      <w:pPr>
        <w:ind w:left="1200" w:right="340"/>
        <w:spacing w:after="0" w:line="259" w:lineRule="auto"/>
        <w:rPr>
          <w:sz w:val="20"/>
          <w:szCs w:val="20"/>
          <w:color w:val="auto"/>
        </w:rPr>
      </w:pPr>
      <w:r>
        <w:rPr>
          <w:rFonts w:ascii="Arial" w:cs="Arial" w:eastAsia="Arial" w:hAnsi="Arial"/>
          <w:sz w:val="18"/>
          <w:szCs w:val="18"/>
          <w:b w:val="1"/>
          <w:bCs w:val="1"/>
          <w:i w:val="1"/>
          <w:iCs w:val="1"/>
          <w:color w:val="auto"/>
        </w:rPr>
        <w:t xml:space="preserve">Full dividend reinvestment </w:t>
      </w:r>
      <w:r>
        <w:rPr>
          <w:rFonts w:ascii="Arial" w:cs="Arial" w:eastAsia="Arial" w:hAnsi="Arial"/>
          <w:sz w:val="18"/>
          <w:szCs w:val="18"/>
          <w:color w:val="auto"/>
        </w:rPr>
        <w:t>—All cash dividends payable on shares held in the Plan, along with any shares held in physical certificate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form or through book-entry Direct Registration Shares (“DRS”), will be used to purchase additional shares. The participant will not receive cash dividends from Southwest Gas Holdings; instead, all dividends will be reinvested. Whole and fractional shares will be allocated to the Plan account. </w:t>
      </w:r>
      <w:r>
        <w:rPr>
          <w:rFonts w:ascii="Arial" w:cs="Arial" w:eastAsia="Arial" w:hAnsi="Arial"/>
          <w:sz w:val="18"/>
          <w:szCs w:val="18"/>
          <w:i w:val="1"/>
          <w:iCs w:val="1"/>
          <w:color w:val="auto"/>
        </w:rPr>
        <w:t>(RD)</w:t>
      </w:r>
    </w:p>
    <w:p>
      <w:pPr>
        <w:spacing w:after="0" w:line="79" w:lineRule="exact"/>
        <w:rPr>
          <w:sz w:val="20"/>
          <w:szCs w:val="20"/>
          <w:color w:val="auto"/>
        </w:rPr>
      </w:pPr>
    </w:p>
    <w:p>
      <w:pPr>
        <w:jc w:val="both"/>
        <w:ind w:left="1200" w:right="100"/>
        <w:spacing w:after="0" w:line="302" w:lineRule="auto"/>
        <w:rPr>
          <w:sz w:val="20"/>
          <w:szCs w:val="20"/>
          <w:color w:val="auto"/>
        </w:rPr>
      </w:pPr>
      <w:r>
        <w:rPr>
          <w:rFonts w:ascii="Arial" w:cs="Arial" w:eastAsia="Arial" w:hAnsi="Arial"/>
          <w:sz w:val="16"/>
          <w:szCs w:val="16"/>
          <w:b w:val="1"/>
          <w:bCs w:val="1"/>
          <w:i w:val="1"/>
          <w:iCs w:val="1"/>
          <w:color w:val="auto"/>
        </w:rPr>
        <w:t xml:space="preserve">Partial dividend reinvestment by percentage </w:t>
      </w:r>
      <w:r>
        <w:rPr>
          <w:rFonts w:ascii="Arial" w:cs="Arial" w:eastAsia="Arial" w:hAnsi="Arial"/>
          <w:sz w:val="16"/>
          <w:szCs w:val="16"/>
          <w:color w:val="auto"/>
        </w:rPr>
        <w:t>—A participant may elect to reinvest a portion of the dividend and receive the remainder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cash. The percentage elected will be applied to the total shares held in the Plan, along with any shares held in physical certificate form or held through book-entry DRS. A participant may elect percentages from 10%-90%, in increments of 10%. The cash portion of dividends will be sent by check unless the participant has elected to have those dividends deposited directly to a designated bank account. </w:t>
      </w:r>
      <w:r>
        <w:rPr>
          <w:rFonts w:ascii="Arial" w:cs="Arial" w:eastAsia="Arial" w:hAnsi="Arial"/>
          <w:sz w:val="16"/>
          <w:szCs w:val="16"/>
          <w:i w:val="1"/>
          <w:iCs w:val="1"/>
          <w:color w:val="auto"/>
        </w:rPr>
        <w:t>(RX-N)</w:t>
      </w:r>
    </w:p>
    <w:p>
      <w:pPr>
        <w:spacing w:after="0" w:line="46" w:lineRule="exact"/>
        <w:rPr>
          <w:sz w:val="20"/>
          <w:szCs w:val="20"/>
          <w:color w:val="auto"/>
        </w:rPr>
      </w:pPr>
    </w:p>
    <w:p>
      <w:pPr>
        <w:ind w:left="1640" w:right="280"/>
        <w:spacing w:after="0" w:line="286" w:lineRule="auto"/>
        <w:rPr>
          <w:sz w:val="20"/>
          <w:szCs w:val="20"/>
          <w:color w:val="auto"/>
        </w:rPr>
      </w:pPr>
      <w:r>
        <w:rPr>
          <w:rFonts w:ascii="Arial" w:cs="Arial" w:eastAsia="Arial" w:hAnsi="Arial"/>
          <w:sz w:val="17"/>
          <w:szCs w:val="17"/>
          <w:i w:val="1"/>
          <w:iCs w:val="1"/>
          <w:color w:val="auto"/>
        </w:rPr>
        <w:t xml:space="preserve">An example of partial reinvestment by percentage: </w:t>
      </w:r>
      <w:r>
        <w:rPr>
          <w:rFonts w:ascii="Arial" w:cs="Arial" w:eastAsia="Arial" w:hAnsi="Arial"/>
          <w:sz w:val="17"/>
          <w:szCs w:val="17"/>
          <w:color w:val="auto"/>
        </w:rPr>
        <w:t>A participant has a total of 150 shares; 120 shares are held in the Plan, 15 in</w:t>
      </w:r>
      <w:r>
        <w:rPr>
          <w:rFonts w:ascii="Arial" w:cs="Arial" w:eastAsia="Arial" w:hAnsi="Arial"/>
          <w:sz w:val="17"/>
          <w:szCs w:val="17"/>
          <w:i w:val="1"/>
          <w:iCs w:val="1"/>
          <w:color w:val="auto"/>
        </w:rPr>
        <w:t xml:space="preserve"> </w:t>
      </w:r>
      <w:r>
        <w:rPr>
          <w:rFonts w:ascii="Arial" w:cs="Arial" w:eastAsia="Arial" w:hAnsi="Arial"/>
          <w:sz w:val="17"/>
          <w:szCs w:val="17"/>
          <w:color w:val="auto"/>
        </w:rPr>
        <w:t>physical certificate form and 15 shares in book-entry DRS. The participant chooses to have 50% of the total dividend reinvested. This will equate to 75 shares having dividends reinvested and 75 shares having dividends paid in cash.</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INITIAL INVESTMENTS</w:t>
      </w:r>
    </w:p>
    <w:p>
      <w:pPr>
        <w:spacing w:after="0" w:line="135" w:lineRule="exact"/>
        <w:rPr>
          <w:sz w:val="20"/>
          <w:szCs w:val="20"/>
          <w:color w:val="auto"/>
        </w:rPr>
      </w:pPr>
    </w:p>
    <w:p>
      <w:pPr>
        <w:ind w:left="640" w:hanging="436"/>
        <w:spacing w:after="0"/>
        <w:tabs>
          <w:tab w:leader="none" w:pos="64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initial minimum investment payments be invested?</w:t>
      </w:r>
    </w:p>
    <w:p>
      <w:pPr>
        <w:spacing w:after="0" w:line="117" w:lineRule="exact"/>
        <w:rPr>
          <w:rFonts w:ascii="Arial" w:cs="Arial" w:eastAsia="Arial" w:hAnsi="Arial"/>
          <w:sz w:val="18"/>
          <w:szCs w:val="18"/>
          <w:b w:val="1"/>
          <w:bCs w:val="1"/>
          <w:i w:val="1"/>
          <w:iCs w:val="1"/>
          <w:color w:val="auto"/>
        </w:rPr>
      </w:pPr>
    </w:p>
    <w:p>
      <w:pPr>
        <w:ind w:left="640"/>
        <w:spacing w:after="0" w:line="270" w:lineRule="auto"/>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A participant making his or her initial purchase of Common Stock through the Plan should submit a check in an amount not less than $250 or more than $100,000 plus the initial enrollment fee, together with an </w:t>
      </w:r>
      <w:r>
        <w:rPr>
          <w:rFonts w:ascii="Arial" w:cs="Arial" w:eastAsia="Arial" w:hAnsi="Arial"/>
          <w:sz w:val="17"/>
          <w:szCs w:val="17"/>
          <w:i w:val="1"/>
          <w:iCs w:val="1"/>
          <w:color w:val="auto"/>
        </w:rPr>
        <w:t>Account Authorization Form</w:t>
      </w:r>
      <w:r>
        <w:rPr>
          <w:rFonts w:ascii="Arial" w:cs="Arial" w:eastAsia="Arial" w:hAnsi="Arial"/>
          <w:sz w:val="17"/>
          <w:szCs w:val="17"/>
          <w:color w:val="auto"/>
        </w:rPr>
        <w:t xml:space="preserve">, to the Plan Administrator. The Plan Administrator requires that checks be in U.S. dollars drawn from a U.S. or Canadian financial institution. Participants will be charged a return fee on any returned checks. Alternatively, a new participant may arrange to have the purchase price deducted from a designated account in a United States or Canadian financial institution in U.S. Dollars. Investors may not invest more than $100,000 per calendar year unless a waiver is granted by Southwest Gas Holdings. Unless a waiver is granted, the Plan Administrator will return any excess tendered amount to the investor. Purchases will be made on behalf of a new participant in the Plan generally within five (5) business days following the Plan Administrator’s receipt of the payment and </w:t>
      </w:r>
      <w:r>
        <w:rPr>
          <w:rFonts w:ascii="Arial" w:cs="Arial" w:eastAsia="Arial" w:hAnsi="Arial"/>
          <w:sz w:val="17"/>
          <w:szCs w:val="17"/>
          <w:i w:val="1"/>
          <w:iCs w:val="1"/>
          <w:color w:val="auto"/>
        </w:rPr>
        <w:t>Account Authorization Form</w:t>
      </w:r>
      <w:r>
        <w:rPr>
          <w:rFonts w:ascii="Arial" w:cs="Arial" w:eastAsia="Arial" w:hAnsi="Arial"/>
          <w:sz w:val="17"/>
          <w:szCs w:val="17"/>
          <w:color w:val="auto"/>
        </w:rPr>
        <w:t xml:space="preserve"> from the participant. No interest is paid on initial purchase payments pending investment. The Plan Administrator will return an initial purchase payment to an investor upon telephone or written request received at least two (2) business days prior to the investment date.</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REINVESTED DIVIDENDS</w:t>
      </w:r>
    </w:p>
    <w:p>
      <w:pPr>
        <w:spacing w:after="0" w:line="135"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dividends be reinvested?</w:t>
      </w:r>
    </w:p>
    <w:p>
      <w:pPr>
        <w:spacing w:after="0" w:line="117" w:lineRule="exact"/>
        <w:rPr>
          <w:rFonts w:ascii="Arial" w:cs="Arial" w:eastAsia="Arial" w:hAnsi="Arial"/>
          <w:sz w:val="18"/>
          <w:szCs w:val="18"/>
          <w:b w:val="1"/>
          <w:bCs w:val="1"/>
          <w:i w:val="1"/>
          <w:iCs w:val="1"/>
          <w:color w:val="auto"/>
        </w:rPr>
      </w:pPr>
    </w:p>
    <w:p>
      <w:pPr>
        <w:ind w:left="640" w:right="40"/>
        <w:spacing w:after="0" w:line="257" w:lineRule="auto"/>
        <w:rPr>
          <w:rFonts w:ascii="Arial" w:cs="Arial" w:eastAsia="Arial" w:hAnsi="Arial"/>
          <w:sz w:val="18"/>
          <w:szCs w:val="18"/>
          <w:b w:val="1"/>
          <w:bCs w:val="1"/>
          <w:i w:val="1"/>
          <w:iCs w:val="1"/>
          <w:color w:val="auto"/>
        </w:rPr>
      </w:pPr>
      <w:r>
        <w:rPr>
          <w:rFonts w:ascii="Arial" w:cs="Arial" w:eastAsia="Arial" w:hAnsi="Arial"/>
          <w:sz w:val="18"/>
          <w:szCs w:val="18"/>
          <w:color w:val="auto"/>
        </w:rPr>
        <w:t>You may direct that any dividends on shares of Common Stock be reinvested under the Plan, and those dividends will be reinvested on the investment date coinciding with the payment of the dividend and no later than 30 trading days, following the dividend payable date. We have ordinarily paid Common Stock dividends on the first business day of March, June, September, and December, but we cannot guarantee or assure you that we will continue to pay dividends on this basis. Common Stock acquired with reinvested dividends will either be issued shares or market shares, depending on the financial requirements of the Company.</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80"/>
          </w:cols>
          <w:pgMar w:left="24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59" w:lineRule="auto"/>
        <w:rPr>
          <w:sz w:val="20"/>
          <w:szCs w:val="20"/>
          <w:color w:val="auto"/>
        </w:rPr>
      </w:pPr>
      <w:r>
        <w:rPr>
          <w:rFonts w:ascii="Arial" w:cs="Arial" w:eastAsia="Arial" w:hAnsi="Arial"/>
          <w:sz w:val="18"/>
          <w:szCs w:val="18"/>
          <w:color w:val="auto"/>
        </w:rPr>
        <w:t xml:space="preserve">You can reinvest all or a portion of your Southwest Gas Holdings cash dividends. When you enroll in the Plan, you may select the option to automatically reinvest your dividend. If you do not select an option, the Plan Administrator will default your choice to full reinvestment. You may change your election at any time online, by telephone or by sending a new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by mail (see </w:t>
      </w:r>
      <w:r>
        <w:rPr>
          <w:rFonts w:ascii="Arial" w:cs="Arial" w:eastAsia="Arial" w:hAnsi="Arial"/>
          <w:sz w:val="18"/>
          <w:szCs w:val="18"/>
          <w:b w:val="1"/>
          <w:bCs w:val="1"/>
          <w:color w:val="auto"/>
        </w:rPr>
        <w:t>Contact Information)</w:t>
      </w:r>
      <w:r>
        <w:rPr>
          <w:rFonts w:ascii="Arial" w:cs="Arial" w:eastAsia="Arial" w:hAnsi="Arial"/>
          <w:sz w:val="18"/>
          <w:szCs w:val="18"/>
          <w:color w:val="auto"/>
        </w:rPr>
        <w:t>. Changes received after the record date of a dividend will be effective for the following dividend.</w:t>
      </w:r>
    </w:p>
    <w:p>
      <w:pPr>
        <w:spacing w:after="0" w:line="79" w:lineRule="exact"/>
        <w:rPr>
          <w:sz w:val="20"/>
          <w:szCs w:val="20"/>
          <w:color w:val="auto"/>
        </w:rPr>
      </w:pPr>
    </w:p>
    <w:p>
      <w:pPr>
        <w:ind w:left="640" w:right="600"/>
        <w:spacing w:after="0" w:line="277" w:lineRule="auto"/>
        <w:rPr>
          <w:sz w:val="20"/>
          <w:szCs w:val="20"/>
          <w:color w:val="auto"/>
        </w:rPr>
      </w:pPr>
      <w:r>
        <w:rPr>
          <w:rFonts w:ascii="Arial" w:cs="Arial" w:eastAsia="Arial" w:hAnsi="Arial"/>
          <w:sz w:val="18"/>
          <w:szCs w:val="18"/>
          <w:color w:val="auto"/>
        </w:rPr>
        <w:t xml:space="preserve">The Plan Administrator will apply all or a portion of your dividends, as elected (less any applicable fee), to purchase additional whole and fractional shares (see </w:t>
      </w:r>
      <w:r>
        <w:rPr>
          <w:rFonts w:ascii="Arial" w:cs="Arial" w:eastAsia="Arial" w:hAnsi="Arial"/>
          <w:sz w:val="18"/>
          <w:szCs w:val="18"/>
          <w:b w:val="1"/>
          <w:bCs w:val="1"/>
          <w:color w:val="auto"/>
        </w:rPr>
        <w:t>Investment Summary and Fees</w:t>
      </w:r>
      <w:r>
        <w:rPr>
          <w:rFonts w:ascii="Arial" w:cs="Arial" w:eastAsia="Arial" w:hAnsi="Arial"/>
          <w:sz w:val="18"/>
          <w:szCs w:val="18"/>
          <w:color w:val="auto"/>
        </w:rPr>
        <w:t>, Investment fees).</w:t>
      </w:r>
    </w:p>
    <w:p>
      <w:pPr>
        <w:spacing w:after="0" w:line="62"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Dividends are invested as soon as administratively possible on or following the dividend payable date, generally within five (5) trading days. Depending on the number of shares being purchased and the current trading volume, a purchase may be executed in multiple transactions that may occur on more than one day. Should this occur, the price will be the average of all trades executed.</w:t>
      </w:r>
    </w:p>
    <w:p>
      <w:pPr>
        <w:spacing w:after="0" w:line="69" w:lineRule="exact"/>
        <w:rPr>
          <w:sz w:val="20"/>
          <w:szCs w:val="20"/>
          <w:color w:val="auto"/>
        </w:rPr>
      </w:pPr>
    </w:p>
    <w:p>
      <w:pPr>
        <w:ind w:left="1200" w:right="460"/>
        <w:spacing w:after="0" w:line="266" w:lineRule="auto"/>
        <w:rPr>
          <w:sz w:val="20"/>
          <w:szCs w:val="20"/>
          <w:color w:val="auto"/>
        </w:rPr>
      </w:pPr>
      <w:r>
        <w:rPr>
          <w:rFonts w:ascii="Arial" w:cs="Arial" w:eastAsia="Arial" w:hAnsi="Arial"/>
          <w:sz w:val="18"/>
          <w:szCs w:val="18"/>
          <w:b w:val="1"/>
          <w:bCs w:val="1"/>
          <w:color w:val="auto"/>
        </w:rPr>
        <w:t xml:space="preserve">If you are a shareowner of record owning </w:t>
      </w:r>
      <w:r>
        <w:rPr>
          <w:rFonts w:ascii="Arial" w:cs="Arial" w:eastAsia="Arial" w:hAnsi="Arial"/>
          <w:sz w:val="18"/>
          <w:szCs w:val="18"/>
          <w:b w:val="1"/>
          <w:bCs w:val="1"/>
          <w:i w:val="1"/>
          <w:iCs w:val="1"/>
          <w:color w:val="auto"/>
        </w:rPr>
        <w:t>less than 99 shares</w:t>
      </w:r>
      <w:r>
        <w:rPr>
          <w:rFonts w:ascii="Arial" w:cs="Arial" w:eastAsia="Arial" w:hAnsi="Arial"/>
          <w:sz w:val="18"/>
          <w:szCs w:val="18"/>
          <w:b w:val="1"/>
          <w:bCs w:val="1"/>
          <w:color w:val="auto"/>
        </w:rPr>
        <w:t xml:space="preserve">, you pay no transaction fees to reinvest your dividends. </w:t>
      </w:r>
      <w:r>
        <w:rPr>
          <w:rFonts w:ascii="Arial" w:cs="Arial" w:eastAsia="Arial" w:hAnsi="Arial"/>
          <w:sz w:val="18"/>
          <w:szCs w:val="18"/>
          <w:color w:val="auto"/>
        </w:rPr>
        <w:t>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an annual account statement detailing all of your transactions for the year along with your Form 1099-DIV tax reporting information.</w:t>
      </w:r>
    </w:p>
    <w:p>
      <w:pPr>
        <w:spacing w:after="0" w:line="68" w:lineRule="exact"/>
        <w:rPr>
          <w:sz w:val="20"/>
          <w:szCs w:val="20"/>
          <w:color w:val="auto"/>
        </w:rPr>
      </w:pPr>
    </w:p>
    <w:p>
      <w:pPr>
        <w:ind w:left="1200" w:right="140"/>
        <w:spacing w:after="0" w:line="282" w:lineRule="auto"/>
        <w:rPr>
          <w:sz w:val="20"/>
          <w:szCs w:val="20"/>
          <w:color w:val="auto"/>
        </w:rPr>
      </w:pPr>
      <w:r>
        <w:rPr>
          <w:rFonts w:ascii="Arial" w:cs="Arial" w:eastAsia="Arial" w:hAnsi="Arial"/>
          <w:sz w:val="18"/>
          <w:szCs w:val="18"/>
          <w:b w:val="1"/>
          <w:bCs w:val="1"/>
          <w:color w:val="auto"/>
        </w:rPr>
        <w:t xml:space="preserve">If you are a shareowner of record owning </w:t>
      </w:r>
      <w:r>
        <w:rPr>
          <w:rFonts w:ascii="Arial" w:cs="Arial" w:eastAsia="Arial" w:hAnsi="Arial"/>
          <w:sz w:val="18"/>
          <w:szCs w:val="18"/>
          <w:b w:val="1"/>
          <w:bCs w:val="1"/>
          <w:i w:val="1"/>
          <w:iCs w:val="1"/>
          <w:color w:val="auto"/>
        </w:rPr>
        <w:t>99 shares or more</w:t>
      </w:r>
      <w:r>
        <w:rPr>
          <w:rFonts w:ascii="Arial" w:cs="Arial" w:eastAsia="Arial" w:hAnsi="Arial"/>
          <w:sz w:val="18"/>
          <w:szCs w:val="18"/>
          <w:b w:val="1"/>
          <w:bCs w:val="1"/>
          <w:color w:val="auto"/>
        </w:rPr>
        <w:t xml:space="preserve">, you will receive quarterly account statements. </w:t>
      </w:r>
      <w:r>
        <w:rPr>
          <w:rFonts w:ascii="Arial" w:cs="Arial" w:eastAsia="Arial" w:hAnsi="Arial"/>
          <w:sz w:val="18"/>
          <w:szCs w:val="18"/>
          <w:color w:val="auto"/>
        </w:rPr>
        <w:t>You pay no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fee to reinvest your dividends. (see </w:t>
      </w:r>
      <w:r>
        <w:rPr>
          <w:rFonts w:ascii="Arial" w:cs="Arial" w:eastAsia="Arial" w:hAnsi="Arial"/>
          <w:sz w:val="18"/>
          <w:szCs w:val="18"/>
          <w:b w:val="1"/>
          <w:bCs w:val="1"/>
          <w:color w:val="auto"/>
        </w:rPr>
        <w:t>Investment Summary and Fees</w:t>
      </w:r>
      <w:r>
        <w:rPr>
          <w:rFonts w:ascii="Arial" w:cs="Arial" w:eastAsia="Arial" w:hAnsi="Arial"/>
          <w:sz w:val="18"/>
          <w:szCs w:val="18"/>
          <w:color w:val="auto"/>
        </w:rPr>
        <w:t xml:space="preserve"> for additional information).</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OPTIONAL CASH PAYMENTS</w:t>
      </w:r>
    </w:p>
    <w:p>
      <w:pPr>
        <w:spacing w:after="0" w:line="135" w:lineRule="exact"/>
        <w:rPr>
          <w:sz w:val="20"/>
          <w:szCs w:val="20"/>
          <w:color w:val="auto"/>
        </w:rPr>
      </w:pPr>
    </w:p>
    <w:p>
      <w:pPr>
        <w:ind w:left="640" w:hanging="43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Who is eligible to make optional cash payments?</w:t>
      </w:r>
    </w:p>
    <w:p>
      <w:pPr>
        <w:spacing w:after="0" w:line="117" w:lineRule="exact"/>
        <w:rPr>
          <w:rFonts w:ascii="Arial" w:cs="Arial" w:eastAsia="Arial" w:hAnsi="Arial"/>
          <w:sz w:val="18"/>
          <w:szCs w:val="18"/>
          <w:b w:val="1"/>
          <w:bCs w:val="1"/>
          <w:i w:val="1"/>
          <w:iCs w:val="1"/>
          <w:color w:val="auto"/>
        </w:rPr>
      </w:pPr>
    </w:p>
    <w:p>
      <w:pPr>
        <w:ind w:left="640" w:right="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Once you become a Participant, you are eligible to make optional cash payments at any time. You may make optional cash payments after joining the Plan by enclosing your payment with the </w:t>
      </w:r>
      <w:r>
        <w:rPr>
          <w:rFonts w:ascii="Arial" w:cs="Arial" w:eastAsia="Arial" w:hAnsi="Arial"/>
          <w:sz w:val="18"/>
          <w:szCs w:val="18"/>
          <w:i w:val="1"/>
          <w:iCs w:val="1"/>
          <w:color w:val="auto"/>
        </w:rPr>
        <w:t>Transaction Request Form</w:t>
      </w:r>
      <w:r>
        <w:rPr>
          <w:rFonts w:ascii="Arial" w:cs="Arial" w:eastAsia="Arial" w:hAnsi="Arial"/>
          <w:sz w:val="18"/>
          <w:szCs w:val="18"/>
          <w:color w:val="auto"/>
        </w:rPr>
        <w:t xml:space="preserve"> provided on your statement.</w:t>
      </w:r>
    </w:p>
    <w:p>
      <w:pPr>
        <w:spacing w:after="0" w:line="62" w:lineRule="exact"/>
        <w:rPr>
          <w:rFonts w:ascii="Arial" w:cs="Arial" w:eastAsia="Arial" w:hAnsi="Arial"/>
          <w:sz w:val="18"/>
          <w:szCs w:val="18"/>
          <w:b w:val="1"/>
          <w:bCs w:val="1"/>
          <w:i w:val="1"/>
          <w:iCs w:val="1"/>
          <w:color w:val="auto"/>
        </w:rPr>
      </w:pPr>
    </w:p>
    <w:p>
      <w:pPr>
        <w:ind w:left="640" w:right="38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Optional cash payments cannot be less than $25 and cannot exceed $100,000 per calendar year per Participant unless a waiver is granted by Southwest Gas Holdings. Optional cash payments can be made by check payable to: EQ Shareowner Services, P.O. Box 64856, St. Paul, MN 55164-0856. You should include your Plan account number on all checks.</w:t>
      </w:r>
    </w:p>
    <w:p>
      <w:pPr>
        <w:spacing w:after="0" w:line="329" w:lineRule="exact"/>
        <w:rPr>
          <w:rFonts w:ascii="Arial" w:cs="Arial" w:eastAsia="Arial" w:hAnsi="Arial"/>
          <w:sz w:val="18"/>
          <w:szCs w:val="18"/>
          <w:b w:val="1"/>
          <w:bCs w:val="1"/>
          <w:i w:val="1"/>
          <w:iCs w:val="1"/>
          <w:color w:val="auto"/>
        </w:rPr>
      </w:pPr>
    </w:p>
    <w:p>
      <w:pPr>
        <w:ind w:left="640" w:right="400" w:hanging="436"/>
        <w:spacing w:after="0" w:line="277" w:lineRule="auto"/>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will optional cash payments be invested and when will dividends be paid on shares of Common Stock purchased with optional cash payments?</w:t>
      </w:r>
    </w:p>
    <w:p>
      <w:pPr>
        <w:spacing w:after="0" w:line="62" w:lineRule="exact"/>
        <w:rPr>
          <w:rFonts w:ascii="Arial" w:cs="Arial" w:eastAsia="Arial" w:hAnsi="Arial"/>
          <w:sz w:val="18"/>
          <w:szCs w:val="18"/>
          <w:b w:val="1"/>
          <w:bCs w:val="1"/>
          <w:i w:val="1"/>
          <w:iCs w:val="1"/>
          <w:color w:val="auto"/>
        </w:rPr>
      </w:pPr>
    </w:p>
    <w:p>
      <w:pPr>
        <w:ind w:left="640" w:right="52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Optional cash payments will be invested generally within five (5) trading days from receipt of your investment amount and no later than 35 trading days, except where postponement is necessary to comply with applicable law.</w:t>
      </w:r>
    </w:p>
    <w:p>
      <w:pPr>
        <w:spacing w:after="0" w:line="62" w:lineRule="exact"/>
        <w:rPr>
          <w:rFonts w:ascii="Arial" w:cs="Arial" w:eastAsia="Arial" w:hAnsi="Arial"/>
          <w:sz w:val="18"/>
          <w:szCs w:val="18"/>
          <w:b w:val="1"/>
          <w:bCs w:val="1"/>
          <w:i w:val="1"/>
          <w:iCs w:val="1"/>
          <w:color w:val="auto"/>
        </w:rPr>
      </w:pPr>
    </w:p>
    <w:p>
      <w:pPr>
        <w:ind w:left="640" w:right="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Administrator will reinvest any dividends on shares of Common Stock purchased with optional cash payments on or before the dividend record date. Common Stock dividend payment dates are ordinarily the first business day of March, June, September, and December. We cannot guarantee or assure you that we will continue to pay dividends on this basis.</w:t>
      </w:r>
    </w:p>
    <w:p>
      <w:pPr>
        <w:spacing w:after="0" w:line="73" w:lineRule="exact"/>
        <w:rPr>
          <w:rFonts w:ascii="Arial" w:cs="Arial" w:eastAsia="Arial" w:hAnsi="Arial"/>
          <w:sz w:val="18"/>
          <w:szCs w:val="18"/>
          <w:b w:val="1"/>
          <w:bCs w:val="1"/>
          <w:i w:val="1"/>
          <w:iCs w:val="1"/>
          <w:color w:val="auto"/>
        </w:rPr>
      </w:pPr>
    </w:p>
    <w:p>
      <w:pPr>
        <w:ind w:left="640" w:right="1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You may, without withdrawing from the Plan, direct the Plan Administrator to return to you any optional cash payment the Plan Administrator is holding upon receipt of your written request at least two (2) business days before the investment date. No interest will be paid on payments that are received and held prior to investment.</w:t>
      </w:r>
    </w:p>
    <w:p>
      <w:pPr>
        <w:spacing w:after="0" w:line="32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make optional cash payments?</w:t>
      </w:r>
    </w:p>
    <w:p>
      <w:pPr>
        <w:spacing w:after="0" w:line="117" w:lineRule="exact"/>
        <w:rPr>
          <w:rFonts w:ascii="Arial" w:cs="Arial" w:eastAsia="Arial" w:hAnsi="Arial"/>
          <w:sz w:val="18"/>
          <w:szCs w:val="18"/>
          <w:b w:val="1"/>
          <w:bCs w:val="1"/>
          <w:i w:val="1"/>
          <w:iCs w:val="1"/>
          <w:color w:val="auto"/>
        </w:rPr>
      </w:pPr>
    </w:p>
    <w:p>
      <w:pPr>
        <w:ind w:left="640" w:right="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You may vary the amount of the optional cash payment at any time. However, you are encouraged to set an investment goal and then send a fixed amount every month or quarter. You may make a payment by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57" w:lineRule="auto"/>
        <w:rPr>
          <w:sz w:val="20"/>
          <w:szCs w:val="20"/>
          <w:color w:val="auto"/>
        </w:rPr>
      </w:pPr>
      <w:r>
        <w:rPr>
          <w:rFonts w:ascii="Arial" w:cs="Arial" w:eastAsia="Arial" w:hAnsi="Arial"/>
          <w:sz w:val="18"/>
          <w:szCs w:val="18"/>
          <w:color w:val="auto"/>
        </w:rPr>
        <w:t xml:space="preserve">enclosing and sending a check payable to the Plan Administrator with the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or the </w:t>
      </w:r>
      <w:r>
        <w:rPr>
          <w:rFonts w:ascii="Arial" w:cs="Arial" w:eastAsia="Arial" w:hAnsi="Arial"/>
          <w:sz w:val="18"/>
          <w:szCs w:val="18"/>
          <w:i w:val="1"/>
          <w:iCs w:val="1"/>
          <w:color w:val="auto"/>
        </w:rPr>
        <w:t>Transaction Request Form</w:t>
      </w:r>
      <w:r>
        <w:rPr>
          <w:rFonts w:ascii="Arial" w:cs="Arial" w:eastAsia="Arial" w:hAnsi="Arial"/>
          <w:sz w:val="18"/>
          <w:szCs w:val="18"/>
          <w:color w:val="auto"/>
        </w:rPr>
        <w:t xml:space="preserve"> provided with your statement. In addition, Participants may also make automatic withdrawals from their checking or savings accounts. Plan investments must be made separately from payments for gas service of Southwest. Optional cash payments under the Plan cannot be included in amounts submitted to Southwest for payment of gas service or with an invoice for gas service. The Plan Administrator will not accept cash, money orders, traveler’s checks or third party checks.</w:t>
      </w:r>
    </w:p>
    <w:p>
      <w:pPr>
        <w:spacing w:after="0" w:line="80" w:lineRule="exact"/>
        <w:rPr>
          <w:sz w:val="20"/>
          <w:szCs w:val="20"/>
          <w:color w:val="auto"/>
        </w:rPr>
      </w:pPr>
    </w:p>
    <w:p>
      <w:pPr>
        <w:ind w:left="640"/>
        <w:spacing w:after="0" w:line="254" w:lineRule="auto"/>
        <w:rPr>
          <w:sz w:val="20"/>
          <w:szCs w:val="20"/>
          <w:color w:val="auto"/>
        </w:rPr>
      </w:pPr>
      <w:r>
        <w:rPr>
          <w:rFonts w:ascii="Arial" w:cs="Arial" w:eastAsia="Arial" w:hAnsi="Arial"/>
          <w:sz w:val="18"/>
          <w:szCs w:val="18"/>
          <w:color w:val="auto"/>
        </w:rPr>
        <w:t xml:space="preserve">You may make automatic investments up to twice per month, whether initial or optional cash investments, by automatic withdrawal from a pre-designated account. Payments must be in U.S. dollars and drawn on a U.S. or Canadian financial institution. To initiate automatic investments, you must complete and return to the Plan Administrator the automatic cash withdrawal and investment section of the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as well as deliver to the Plan Administrator a voided blank check or a savings deposit slip for the account from which funds are to be drawn. You may obtain the </w:t>
      </w:r>
      <w:r>
        <w:rPr>
          <w:rFonts w:ascii="Arial" w:cs="Arial" w:eastAsia="Arial" w:hAnsi="Arial"/>
          <w:sz w:val="18"/>
          <w:szCs w:val="18"/>
          <w:i w:val="1"/>
          <w:iCs w:val="1"/>
          <w:color w:val="auto"/>
        </w:rPr>
        <w:t>Account Authorization Form</w:t>
      </w:r>
      <w:r>
        <w:rPr>
          <w:rFonts w:ascii="Arial" w:cs="Arial" w:eastAsia="Arial" w:hAnsi="Arial"/>
          <w:sz w:val="18"/>
          <w:szCs w:val="18"/>
          <w:color w:val="auto"/>
        </w:rPr>
        <w:t xml:space="preserve"> online at </w:t>
      </w:r>
      <w:r>
        <w:rPr>
          <w:rFonts w:ascii="Arial" w:cs="Arial" w:eastAsia="Arial" w:hAnsi="Arial"/>
          <w:sz w:val="18"/>
          <w:szCs w:val="18"/>
          <w:b w:val="1"/>
          <w:bCs w:val="1"/>
          <w:color w:val="auto"/>
        </w:rPr>
        <w:t>shareowneronline.com</w:t>
      </w:r>
      <w:r>
        <w:rPr>
          <w:rFonts w:ascii="Arial" w:cs="Arial" w:eastAsia="Arial" w:hAnsi="Arial"/>
          <w:sz w:val="18"/>
          <w:szCs w:val="18"/>
          <w:color w:val="auto"/>
        </w:rPr>
        <w:t xml:space="preserve"> or from the Plan Administrator. Automatic investments will be initiated as soon as administratively possible. Funds then will be drawn from your designated account on the 10th, 25th, or both days of each month or, if the 10th or 25th day falls on a weekend or bank holiday, the first business day thereafter, and will be invested in Common Stock on the next investment date.</w:t>
      </w:r>
    </w:p>
    <w:p>
      <w:pPr>
        <w:spacing w:after="0" w:line="84"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color w:val="auto"/>
        </w:rPr>
        <w:t xml:space="preserve">Changes or a discontinuation of automatic withdrawals can be made online, by telephone or by using the </w:t>
      </w:r>
      <w:r>
        <w:rPr>
          <w:rFonts w:ascii="Arial" w:cs="Arial" w:eastAsia="Arial" w:hAnsi="Arial"/>
          <w:sz w:val="18"/>
          <w:szCs w:val="18"/>
          <w:i w:val="1"/>
          <w:iCs w:val="1"/>
          <w:color w:val="auto"/>
        </w:rPr>
        <w:t>Transaction Request Form</w:t>
      </w:r>
      <w:r>
        <w:rPr>
          <w:rFonts w:ascii="Arial" w:cs="Arial" w:eastAsia="Arial" w:hAnsi="Arial"/>
          <w:sz w:val="18"/>
          <w:szCs w:val="18"/>
          <w:color w:val="auto"/>
        </w:rPr>
        <w:t xml:space="preserve"> attached to the participant’s statement. To be effective with respect to the next automatic investment date, the Plan Administrator must receive the notice at least 15 business days preceding that date.</w:t>
      </w:r>
    </w:p>
    <w:p>
      <w:pPr>
        <w:spacing w:after="0" w:line="73" w:lineRule="exact"/>
        <w:rPr>
          <w:sz w:val="20"/>
          <w:szCs w:val="20"/>
          <w:color w:val="auto"/>
        </w:rPr>
      </w:pPr>
    </w:p>
    <w:p>
      <w:pPr>
        <w:ind w:left="640" w:right="320"/>
        <w:spacing w:after="0" w:line="276" w:lineRule="auto"/>
        <w:rPr>
          <w:sz w:val="20"/>
          <w:szCs w:val="20"/>
          <w:color w:val="auto"/>
        </w:rPr>
      </w:pPr>
      <w:r>
        <w:rPr>
          <w:rFonts w:ascii="Arial" w:cs="Arial" w:eastAsia="Arial" w:hAnsi="Arial"/>
          <w:sz w:val="17"/>
          <w:szCs w:val="17"/>
          <w:color w:val="auto"/>
        </w:rPr>
        <w:t>Participants will not earn interest on funds held by the Plan Administrator. During the period that initial and any optional cash payments are pending, the collected funds in the possession of the Plan Administrator may be invested in certain Permitted Investments. For purposes of the Plan, “Permitted Investments” shall mean the Plan Administrator may hold the funds uninvested or invested in select Wells Fargo deposit products. The risk of any loss from such Permitted Investments is the responsibility of the Plan Administrator. Investment income from such Permitted Investments will be retained by the Plan Administrator.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EXPENSES</w:t>
      </w:r>
    </w:p>
    <w:p>
      <w:pPr>
        <w:spacing w:after="0" w:line="135" w:lineRule="exact"/>
        <w:rPr>
          <w:sz w:val="20"/>
          <w:szCs w:val="20"/>
          <w:color w:val="auto"/>
        </w:rPr>
      </w:pPr>
    </w:p>
    <w:p>
      <w:pPr>
        <w:ind w:left="640" w:hanging="436"/>
        <w:spacing w:after="0"/>
        <w:tabs>
          <w:tab w:leader="none" w:pos="64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I be charged any expenses in connection with the purchase of shares of Common Stock under the Plan?</w:t>
      </w:r>
    </w:p>
    <w:p>
      <w:pPr>
        <w:spacing w:after="0" w:line="117" w:lineRule="exact"/>
        <w:rPr>
          <w:rFonts w:ascii="Arial" w:cs="Arial" w:eastAsia="Arial" w:hAnsi="Arial"/>
          <w:sz w:val="18"/>
          <w:szCs w:val="18"/>
          <w:b w:val="1"/>
          <w:bCs w:val="1"/>
          <w:i w:val="1"/>
          <w:iCs w:val="1"/>
          <w:color w:val="auto"/>
        </w:rPr>
      </w:pPr>
    </w:p>
    <w:p>
      <w:pPr>
        <w:ind w:left="640" w:right="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There are no expenses charged to Participants in connection with purchases of Common Stock under the Plan. The Plan Administrator will not charge you, and you are not responsible for, any expenses in connection with purchases of Common Stock under the Plan. We will pay all costs of administration of the Plan and any brokerage commissions or service fees incurred in purchasing shares of Common Stock. However, if you request to sell your shares, the Plan Administrator will deduct any related, incurred brokerage commissions or service fees from the sale proceeds that are remitted to you. See the attached Addendum A regarding fees charged for the sale of shares of Common Stock under the Plan and in other situations.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PURCHASING AND PRICING OF SHARES</w:t>
      </w:r>
    </w:p>
    <w:p>
      <w:pPr>
        <w:spacing w:after="0" w:line="135" w:lineRule="exact"/>
        <w:rPr>
          <w:sz w:val="20"/>
          <w:szCs w:val="20"/>
          <w:color w:val="auto"/>
        </w:rPr>
      </w:pPr>
    </w:p>
    <w:p>
      <w:pPr>
        <w:ind w:left="640" w:hanging="436"/>
        <w:spacing w:after="0"/>
        <w:tabs>
          <w:tab w:leader="none" w:pos="64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many shares of Common Stock will be purchased for me?</w:t>
      </w:r>
    </w:p>
    <w:p>
      <w:pPr>
        <w:spacing w:after="0" w:line="117" w:lineRule="exact"/>
        <w:rPr>
          <w:rFonts w:ascii="Arial" w:cs="Arial" w:eastAsia="Arial" w:hAnsi="Arial"/>
          <w:sz w:val="18"/>
          <w:szCs w:val="18"/>
          <w:b w:val="1"/>
          <w:bCs w:val="1"/>
          <w:i w:val="1"/>
          <w:iCs w:val="1"/>
          <w:color w:val="auto"/>
        </w:rPr>
      </w:pPr>
    </w:p>
    <w:p>
      <w:pPr>
        <w:ind w:left="640" w:right="14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color w:val="auto"/>
        </w:rPr>
        <w:t>The number of shares of Company Common Stock to be purchased for you on any investment date will depend upon the amount of the optional cash payments received since your last investment in the Plan, the amount of your dividends to be reinvested and the price of the Common Stock on the investment date. On each investment date, your Plan account will be credited with that number of shares of Common Stock, including fractional shares, equal to the total amount to be invested and reinvested on your behalf, divided by the price of the Common Stock on the investment date. Fractional shares will earn proportionate dividends as declared.</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is the purchase price of shares of Common Stock determined?</w:t>
      </w:r>
    </w:p>
    <w:p>
      <w:pPr>
        <w:spacing w:after="0" w:line="117" w:lineRule="exact"/>
        <w:rPr>
          <w:rFonts w:ascii="Arial" w:cs="Arial" w:eastAsia="Arial" w:hAnsi="Arial"/>
          <w:sz w:val="18"/>
          <w:szCs w:val="18"/>
          <w:b w:val="1"/>
          <w:bCs w:val="1"/>
          <w:i w:val="1"/>
          <w:iCs w:val="1"/>
          <w:color w:val="auto"/>
        </w:rPr>
      </w:pPr>
    </w:p>
    <w:p>
      <w:pPr>
        <w:ind w:left="640" w:right="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Shares of Common Stock for Participants under the Plan will either be purchased directly from us or through the Plan Administrator in the open market. The price of shares purchased by Participants with reinvested dividends, initial investments or optional cash payments will be (i) in the case of the purchase of original shares of Common Stock, the composite closing price of the Common Stock on the investment date as reported on the consolidated tape for New York Stock Exchange listed securities administered by the Consolidated Tape Association or, if no trading in the Common Stock occurs on that date, the composite closing price on the next preceding date on which trading occurred and (ii) in the case of the purchase of shares of Common Stock in the open market, the weighted average price excluding brokerage commissions paid to obtain the Common Stock on the investment date.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SAFEKEEPING</w:t>
      </w:r>
    </w:p>
    <w:p>
      <w:pPr>
        <w:spacing w:after="0" w:line="135" w:lineRule="exact"/>
        <w:rPr>
          <w:sz w:val="20"/>
          <w:szCs w:val="20"/>
          <w:color w:val="auto"/>
        </w:rPr>
      </w:pPr>
    </w:p>
    <w:p>
      <w:pPr>
        <w:ind w:left="640" w:hanging="436"/>
        <w:spacing w:after="0"/>
        <w:tabs>
          <w:tab w:leader="none" w:pos="64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I deposit my certificated shares?</w:t>
      </w:r>
    </w:p>
    <w:p>
      <w:pPr>
        <w:spacing w:after="0" w:line="117" w:lineRule="exact"/>
        <w:rPr>
          <w:rFonts w:ascii="Arial" w:cs="Arial" w:eastAsia="Arial" w:hAnsi="Arial"/>
          <w:sz w:val="18"/>
          <w:szCs w:val="18"/>
          <w:b w:val="1"/>
          <w:bCs w:val="1"/>
          <w:i w:val="1"/>
          <w:iCs w:val="1"/>
          <w:color w:val="auto"/>
        </w:rPr>
      </w:pPr>
    </w:p>
    <w:p>
      <w:pPr>
        <w:ind w:left="640" w:right="14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color w:val="auto"/>
        </w:rPr>
        <w:t>Yes. A participant may elect to deposit physical Southwest Gas Holdings Common Stock certificate(s) for safekeeping, by sending the certificate(s) to the Plan Administrator together with instructions to deposit the certificate(s). The certificate(s) will show as surrendered with the corresponding credit to Plan shares. The transaction will appear on the Plan account statement, and shares will be held by the Plan Administrator in its name or nominee name. These shares will be held until the participant sells, withdraws or terminates participation in the Plan. Because the participant bears the risk of loss in sending stock certificate(s), it is recommended that the participant sends them registered, insured for at least 3% of the current market value and request a return receipt.</w:t>
      </w:r>
    </w:p>
    <w:p>
      <w:pPr>
        <w:spacing w:after="0" w:line="28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Optional Mail Loss Insurance</w:t>
      </w:r>
    </w:p>
    <w:p>
      <w:pPr>
        <w:spacing w:after="0" w:line="121" w:lineRule="exact"/>
        <w:rPr>
          <w:sz w:val="20"/>
          <w:szCs w:val="20"/>
          <w:color w:val="auto"/>
        </w:rPr>
      </w:pPr>
    </w:p>
    <w:p>
      <w:pPr>
        <w:ind w:left="1200"/>
        <w:spacing w:after="0" w:line="259" w:lineRule="auto"/>
        <w:rPr>
          <w:sz w:val="20"/>
          <w:szCs w:val="20"/>
          <w:color w:val="auto"/>
        </w:rPr>
      </w:pPr>
      <w:r>
        <w:rPr>
          <w:rFonts w:ascii="Arial" w:cs="Arial" w:eastAsia="Arial" w:hAnsi="Arial"/>
          <w:sz w:val="18"/>
          <w:szCs w:val="18"/>
          <w:color w:val="auto"/>
        </w:rPr>
        <w:t>The participant is advised that choosing registered, express or certified mail alone will not provide full protection, should the certificates become lost or stolen. Mail loss insurance provides the coverage needed to replace and reissue the shares should they become lost or stolen through the mail. As the Plan Administrator, we can provide low-cost loss insurance for certificates being returned for conversion to book-entry form. Replacement transaction fees may also apply.</w:t>
      </w:r>
    </w:p>
    <w:p>
      <w:pPr>
        <w:spacing w:after="0" w:line="79" w:lineRule="exact"/>
        <w:rPr>
          <w:sz w:val="20"/>
          <w:szCs w:val="20"/>
          <w:color w:val="auto"/>
        </w:rPr>
      </w:pPr>
    </w:p>
    <w:p>
      <w:pPr>
        <w:ind w:left="1200" w:right="60"/>
        <w:spacing w:after="0" w:line="257" w:lineRule="auto"/>
        <w:rPr>
          <w:sz w:val="20"/>
          <w:szCs w:val="20"/>
          <w:color w:val="auto"/>
        </w:rPr>
      </w:pPr>
      <w:r>
        <w:rPr>
          <w:rFonts w:ascii="Arial" w:cs="Arial" w:eastAsia="Arial" w:hAnsi="Arial"/>
          <w:sz w:val="18"/>
          <w:szCs w:val="18"/>
          <w:color w:val="auto"/>
        </w:rPr>
        <w:t>To take advantage of the optional mail loss insurance, simply include a check in the amount of $10.00, made payable to ‘EQ Surety Program’, along with the certificates and instructions. Choose an accountable mail delivery service such as Federal Express, United Parcel Service, DHL, Express Mail, Purolator, TNT, or United States Postal Service Registered Mail. Any one shipping package may not contain certificates exceeding a total value of $100,000. The value of certificate shares is based on the closing market price of the Common Stock on the trading day prior to the documented mail date.</w:t>
      </w:r>
    </w:p>
    <w:p>
      <w:pPr>
        <w:spacing w:after="0" w:line="80" w:lineRule="exact"/>
        <w:rPr>
          <w:sz w:val="20"/>
          <w:szCs w:val="20"/>
          <w:color w:val="auto"/>
        </w:rPr>
      </w:pPr>
    </w:p>
    <w:p>
      <w:pPr>
        <w:ind w:left="1200" w:right="100"/>
        <w:spacing w:after="0" w:line="259" w:lineRule="auto"/>
        <w:rPr>
          <w:sz w:val="20"/>
          <w:szCs w:val="20"/>
          <w:color w:val="auto"/>
        </w:rPr>
      </w:pPr>
      <w:r>
        <w:rPr>
          <w:rFonts w:ascii="Arial" w:cs="Arial" w:eastAsia="Arial" w:hAnsi="Arial"/>
          <w:sz w:val="18"/>
          <w:szCs w:val="18"/>
          <w:color w:val="auto"/>
        </w:rPr>
        <w:t>Claims related to lost certificates under this service must be made within 60 days of the documented delivery service mail date. A copy of the certificate(s) mailed, along with proof that it was sent by trackable mail should be submitted with the claim. This is specific coverage for the purpose of converting shares to book-entry form and the surety is not intended to cover certificates being tendered for certificate breakdown or exchange for other certificates.</w:t>
      </w:r>
    </w:p>
    <w:p>
      <w:pPr>
        <w:spacing w:after="0" w:line="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color w:val="auto"/>
        </w:rPr>
        <w:t>Certificate(s) will be issued to a participant for Southwest Gas Holdings Common Stock in the participant’s account upon written request to the Plan Administrator. No certificate for a fractional share will be issued.</w:t>
      </w:r>
    </w:p>
    <w:p>
      <w:pPr>
        <w:spacing w:after="0" w:line="319" w:lineRule="exact"/>
        <w:rPr>
          <w:sz w:val="20"/>
          <w:szCs w:val="20"/>
          <w:color w:val="auto"/>
        </w:rPr>
      </w:pPr>
    </w:p>
    <w:p>
      <w:pPr>
        <w:ind w:left="640" w:hanging="436"/>
        <w:spacing w:after="0"/>
        <w:tabs>
          <w:tab w:leader="none" w:pos="64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Does your Company offer an IRA option under the Plan?</w:t>
      </w:r>
    </w:p>
    <w:p>
      <w:pPr>
        <w:spacing w:after="0" w:line="117" w:lineRule="exact"/>
        <w:rPr>
          <w:rFonts w:ascii="Arial" w:cs="Arial" w:eastAsia="Arial" w:hAnsi="Arial"/>
          <w:sz w:val="18"/>
          <w:szCs w:val="18"/>
          <w:b w:val="1"/>
          <w:bCs w:val="1"/>
          <w:i w:val="1"/>
          <w:iCs w:val="1"/>
          <w:color w:val="auto"/>
        </w:rPr>
      </w:pPr>
    </w:p>
    <w:p>
      <w:pPr>
        <w:ind w:left="640" w:right="20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No. While the Company previously made available a traditional IRA option as a way of investing in the Company’s Common Stock through the Plan, such an IRA option is no longer available.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PARTICIPANT ACCOUNTS AND RECORDS</w:t>
      </w:r>
    </w:p>
    <w:p>
      <w:pPr>
        <w:spacing w:after="0" w:line="135" w:lineRule="exact"/>
        <w:rPr>
          <w:sz w:val="20"/>
          <w:szCs w:val="20"/>
          <w:color w:val="auto"/>
        </w:rPr>
      </w:pPr>
    </w:p>
    <w:p>
      <w:pPr>
        <w:ind w:left="640" w:hanging="436"/>
        <w:spacing w:after="0"/>
        <w:tabs>
          <w:tab w:leader="none" w:pos="6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records and accounts will you maintain for me?</w:t>
      </w:r>
    </w:p>
    <w:p>
      <w:pPr>
        <w:spacing w:after="0" w:line="117" w:lineRule="exact"/>
        <w:rPr>
          <w:rFonts w:ascii="Arial" w:cs="Arial" w:eastAsia="Arial" w:hAnsi="Arial"/>
          <w:sz w:val="18"/>
          <w:szCs w:val="18"/>
          <w:b w:val="1"/>
          <w:bCs w:val="1"/>
          <w:i w:val="1"/>
          <w:iCs w:val="1"/>
          <w:color w:val="auto"/>
        </w:rPr>
      </w:pPr>
    </w:p>
    <w:p>
      <w:pPr>
        <w:ind w:left="640" w:right="2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Plan Administrator will maintain a Plan account for you. The Plan Administrator will credit to your Plan account all shares of Common Stock purchased for you under the Plan. When the Plan Administrator issues you a certificate(s) for shares or when shares are sold from your Plan account the Plan Administrator will withdraw those shares from your Plan account.</w:t>
      </w:r>
    </w:p>
    <w:p>
      <w:pPr>
        <w:spacing w:after="0" w:line="32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Plan reports will you send me?</w:t>
      </w:r>
    </w:p>
    <w:p>
      <w:pPr>
        <w:spacing w:after="0" w:line="117" w:lineRule="exact"/>
        <w:rPr>
          <w:rFonts w:ascii="Arial" w:cs="Arial" w:eastAsia="Arial" w:hAnsi="Arial"/>
          <w:sz w:val="18"/>
          <w:szCs w:val="18"/>
          <w:b w:val="1"/>
          <w:bCs w:val="1"/>
          <w:i w:val="1"/>
          <w:iCs w:val="1"/>
          <w:color w:val="auto"/>
        </w:rPr>
      </w:pPr>
    </w:p>
    <w:p>
      <w:pPr>
        <w:ind w:left="640"/>
        <w:spacing w:after="0" w:line="293" w:lineRule="auto"/>
        <w:rPr>
          <w:rFonts w:ascii="Arial" w:cs="Arial" w:eastAsia="Arial" w:hAnsi="Arial"/>
          <w:sz w:val="18"/>
          <w:szCs w:val="18"/>
          <w:b w:val="1"/>
          <w:bCs w:val="1"/>
          <w:i w:val="1"/>
          <w:iCs w:val="1"/>
          <w:color w:val="auto"/>
        </w:rPr>
      </w:pPr>
      <w:r>
        <w:rPr>
          <w:rFonts w:ascii="Arial" w:cs="Arial" w:eastAsia="Arial" w:hAnsi="Arial"/>
          <w:sz w:val="16"/>
          <w:szCs w:val="16"/>
          <w:color w:val="auto"/>
        </w:rPr>
        <w:t xml:space="preserve">You will receive a statement of your Plan account after each dividend and after any other Plan account activity. Participants owning less than 99 shares will receive an annual statement confirming their transactions. </w:t>
      </w:r>
      <w:r>
        <w:rPr>
          <w:rFonts w:ascii="Arial" w:cs="Arial" w:eastAsia="Arial" w:hAnsi="Arial"/>
          <w:sz w:val="16"/>
          <w:szCs w:val="16"/>
          <w:b w:val="1"/>
          <w:bCs w:val="1"/>
          <w:i w:val="1"/>
          <w:iCs w:val="1"/>
          <w:color w:val="auto"/>
        </w:rPr>
        <w:t>These statements are your continuing record of the cost of your purchases.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Year-end and final statements should be retained for income tax purposes. </w:t>
      </w:r>
      <w:r>
        <w:rPr>
          <w:rFonts w:ascii="Arial" w:cs="Arial" w:eastAsia="Arial" w:hAnsi="Arial"/>
          <w:sz w:val="16"/>
          <w:szCs w:val="16"/>
          <w:color w:val="auto"/>
        </w:rPr>
        <w:t>In addition, you will receive each amended prospectus for the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and copies of all communications sent generally to other holders of Common Stock, including our quarterly reports to shareholders, our annual report to shareholders, notice of annual meeting and proxy statement and tax information with respect to dividends paid. You may elect to have your statements and other information sent to you automatically by initiating eDelivery through </w:t>
      </w:r>
      <w:r>
        <w:rPr>
          <w:rFonts w:ascii="Arial" w:cs="Arial" w:eastAsia="Arial" w:hAnsi="Arial"/>
          <w:sz w:val="16"/>
          <w:szCs w:val="16"/>
          <w:b w:val="1"/>
          <w:bCs w:val="1"/>
          <w:color w:val="auto"/>
        </w:rPr>
        <w:t>shareowneronline.com</w:t>
      </w:r>
      <w:r>
        <w:rPr>
          <w:rFonts w:ascii="Arial" w:cs="Arial" w:eastAsia="Arial" w:hAnsi="Arial"/>
          <w:sz w:val="16"/>
          <w:szCs w:val="16"/>
          <w:color w:val="auto"/>
        </w:rPr>
        <w:t>.</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WITHDRAWAL AND TERMINATION</w:t>
      </w:r>
    </w:p>
    <w:p>
      <w:pPr>
        <w:spacing w:after="0" w:line="135" w:lineRule="exact"/>
        <w:rPr>
          <w:sz w:val="20"/>
          <w:szCs w:val="20"/>
          <w:color w:val="auto"/>
        </w:rPr>
      </w:pPr>
    </w:p>
    <w:p>
      <w:pPr>
        <w:ind w:left="640" w:hanging="436"/>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When may I withdraw from the Plan?</w:t>
      </w:r>
    </w:p>
    <w:p>
      <w:pPr>
        <w:spacing w:after="0" w:line="117" w:lineRule="exact"/>
        <w:rPr>
          <w:rFonts w:ascii="Arial" w:cs="Arial" w:eastAsia="Arial" w:hAnsi="Arial"/>
          <w:sz w:val="18"/>
          <w:szCs w:val="18"/>
          <w:b w:val="1"/>
          <w:bCs w:val="1"/>
          <w:i w:val="1"/>
          <w:iCs w:val="1"/>
          <w:color w:val="auto"/>
        </w:rPr>
      </w:pPr>
    </w:p>
    <w:p>
      <w:pPr>
        <w:ind w:left="640" w:right="200"/>
        <w:spacing w:after="0" w:line="302" w:lineRule="auto"/>
        <w:rPr>
          <w:rFonts w:ascii="Arial" w:cs="Arial" w:eastAsia="Arial" w:hAnsi="Arial"/>
          <w:sz w:val="18"/>
          <w:szCs w:val="18"/>
          <w:b w:val="1"/>
          <w:bCs w:val="1"/>
          <w:i w:val="1"/>
          <w:iCs w:val="1"/>
          <w:color w:val="auto"/>
        </w:rPr>
      </w:pPr>
      <w:r>
        <w:rPr>
          <w:rFonts w:ascii="Arial" w:cs="Arial" w:eastAsia="Arial" w:hAnsi="Arial"/>
          <w:sz w:val="16"/>
          <w:szCs w:val="16"/>
          <w:color w:val="auto"/>
        </w:rPr>
        <w:t>You may withdraw from the Plan at any time online, by telephone or by providing a written request to the Plan Administrator. You must arrange for your request to be signed by all adult registered holders listed on your Plan account. The Plan Administrator will process these requests as soon as administratively possible. If your request is received on or after the record date for a dividend, the Plan Administrator will process the request and a separate dividend check will be mailed to you. Future dividends will be paid in cash, unless you rejoin the Plan.</w:t>
      </w:r>
    </w:p>
    <w:p>
      <w:pPr>
        <w:spacing w:after="0" w:line="302"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do I withdraw from the Plan?</w:t>
      </w:r>
    </w:p>
    <w:p>
      <w:pPr>
        <w:spacing w:after="0" w:line="117"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 xml:space="preserve">You can terminate your participation in the Plan at any time by contacting the Plan Administrator. You can submit your request for termination online, by telephone or through the mail (see </w:t>
      </w:r>
      <w:r>
        <w:rPr>
          <w:rFonts w:ascii="Arial" w:cs="Arial" w:eastAsia="Arial" w:hAnsi="Arial"/>
          <w:sz w:val="18"/>
          <w:szCs w:val="18"/>
          <w:b w:val="1"/>
          <w:bCs w:val="1"/>
          <w:color w:val="auto"/>
        </w:rPr>
        <w:t>Contact Information</w:t>
      </w:r>
      <w:r>
        <w:rPr>
          <w:rFonts w:ascii="Arial" w:cs="Arial" w:eastAsia="Arial" w:hAnsi="Arial"/>
          <w:sz w:val="18"/>
          <w:szCs w:val="18"/>
          <w:color w:val="auto"/>
        </w:rPr>
        <w:t xml:space="preserve">). For your convenience, a </w:t>
      </w:r>
      <w:r>
        <w:rPr>
          <w:rFonts w:ascii="Arial" w:cs="Arial" w:eastAsia="Arial" w:hAnsi="Arial"/>
          <w:sz w:val="18"/>
          <w:szCs w:val="18"/>
          <w:i w:val="1"/>
          <w:iCs w:val="1"/>
          <w:color w:val="auto"/>
        </w:rPr>
        <w:t>Transaction Request Form</w:t>
      </w:r>
      <w:r>
        <w:rPr>
          <w:rFonts w:ascii="Arial" w:cs="Arial" w:eastAsia="Arial" w:hAnsi="Arial"/>
          <w:sz w:val="18"/>
          <w:szCs w:val="18"/>
          <w:color w:val="auto"/>
        </w:rPr>
        <w:t xml:space="preserve"> is attached to your statement. Complete the form by filling in the required fields and indicating your intention to terminate your participation in the Plan. Following termination, all future dividends will be paid to you in cash.</w:t>
      </w:r>
    </w:p>
    <w:p>
      <w:pPr>
        <w:spacing w:after="0" w:line="79" w:lineRule="exact"/>
        <w:rPr>
          <w:sz w:val="20"/>
          <w:szCs w:val="20"/>
          <w:color w:val="auto"/>
        </w:rPr>
      </w:pPr>
    </w:p>
    <w:p>
      <w:pPr>
        <w:ind w:left="1200" w:right="300"/>
        <w:spacing w:after="0" w:line="264" w:lineRule="auto"/>
        <w:rPr>
          <w:sz w:val="20"/>
          <w:szCs w:val="20"/>
          <w:color w:val="auto"/>
        </w:rPr>
      </w:pPr>
      <w:r>
        <w:rPr>
          <w:rFonts w:ascii="Arial" w:cs="Arial" w:eastAsia="Arial" w:hAnsi="Arial"/>
          <w:sz w:val="18"/>
          <w:szCs w:val="18"/>
          <w:b w:val="1"/>
          <w:bCs w:val="1"/>
          <w:i w:val="1"/>
          <w:iCs w:val="1"/>
          <w:color w:val="auto"/>
        </w:rPr>
        <w:t xml:space="preserve">Retain shares </w:t>
      </w:r>
      <w:r>
        <w:rPr>
          <w:rFonts w:ascii="Arial" w:cs="Arial" w:eastAsia="Arial" w:hAnsi="Arial"/>
          <w:sz w:val="18"/>
          <w:szCs w:val="18"/>
          <w:color w:val="auto"/>
        </w:rPr>
        <w:t>– If you elect to keep your shares, the whole shares held in your Plan balance will be moved to book-entry 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Shares (“DRS”). Any fractional shares will be sold at the market price, and you will receive a check (less any fees) for the proceeds.</w:t>
      </w:r>
    </w:p>
    <w:p>
      <w:pPr>
        <w:spacing w:after="0" w:line="73" w:lineRule="exact"/>
        <w:rPr>
          <w:sz w:val="20"/>
          <w:szCs w:val="20"/>
          <w:color w:val="auto"/>
        </w:rPr>
      </w:pPr>
    </w:p>
    <w:p>
      <w:pPr>
        <w:ind w:left="1200" w:right="100"/>
        <w:spacing w:after="0" w:line="277" w:lineRule="auto"/>
        <w:rPr>
          <w:sz w:val="20"/>
          <w:szCs w:val="20"/>
          <w:color w:val="auto"/>
        </w:rPr>
      </w:pPr>
      <w:r>
        <w:rPr>
          <w:rFonts w:ascii="Arial" w:cs="Arial" w:eastAsia="Arial" w:hAnsi="Arial"/>
          <w:sz w:val="18"/>
          <w:szCs w:val="18"/>
          <w:b w:val="1"/>
          <w:bCs w:val="1"/>
          <w:i w:val="1"/>
          <w:iCs w:val="1"/>
          <w:color w:val="auto"/>
        </w:rPr>
        <w:t xml:space="preserve">Sell shares </w:t>
      </w:r>
      <w:r>
        <w:rPr>
          <w:rFonts w:ascii="Arial" w:cs="Arial" w:eastAsia="Arial" w:hAnsi="Arial"/>
          <w:sz w:val="18"/>
          <w:szCs w:val="18"/>
          <w:color w:val="auto"/>
        </w:rPr>
        <w:t>– If you choose to sell all of your shares, your sale proceeds, less applicable taxes and transaction fees, will be remitted to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via check. Or you can choose to have them directly deposited into your bank account.</w:t>
      </w:r>
    </w:p>
    <w:p>
      <w:pPr>
        <w:spacing w:after="0" w:line="62"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color w:val="auto"/>
        </w:rPr>
        <w:t>If you terminate your participation in the Plan but do not indicate your preference to retain or sell your shares, the Plan shares will be moved to book-entry DRS form until the Plan Administrator receives further instructions.</w:t>
      </w:r>
    </w:p>
    <w:p>
      <w:pPr>
        <w:spacing w:after="0" w:line="319" w:lineRule="exact"/>
        <w:rPr>
          <w:sz w:val="20"/>
          <w:szCs w:val="20"/>
          <w:color w:val="auto"/>
        </w:rPr>
      </w:pPr>
    </w:p>
    <w:p>
      <w:pPr>
        <w:ind w:left="640" w:hanging="436"/>
        <w:spacing w:after="0"/>
        <w:tabs>
          <w:tab w:leader="none" w:pos="640"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Can you terminate me as a Participant?</w:t>
      </w:r>
    </w:p>
    <w:p>
      <w:pPr>
        <w:spacing w:after="0" w:line="117" w:lineRule="exact"/>
        <w:rPr>
          <w:rFonts w:ascii="Arial" w:cs="Arial" w:eastAsia="Arial" w:hAnsi="Arial"/>
          <w:sz w:val="18"/>
          <w:szCs w:val="18"/>
          <w:b w:val="1"/>
          <w:bCs w:val="1"/>
          <w:i w:val="1"/>
          <w:iCs w:val="1"/>
          <w:color w:val="auto"/>
        </w:rPr>
      </w:pPr>
    </w:p>
    <w:p>
      <w:pPr>
        <w:ind w:left="640" w:right="2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Yes. We reserve the right to deny, modify, suspend or terminate participation by any person or entity in our sole discretion. In addition, the Plan Administrator reserves the right to terminate your Plan account if your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check or other form of remittance has not been honored. The Plan Administrator also reserves the right to terminate participation in the Plan if a participant does not have at least one whole share in the Plan. Upon termination the participant may receive the cash proceeds from the sale of any fractional share, less any transaction fee and brokerage commission.</w:t>
      </w:r>
    </w:p>
    <w:p>
      <w:pPr>
        <w:spacing w:after="0" w:line="330"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upon my withdrawal from, or the termination or discontinuance of, the Plan?</w:t>
      </w:r>
    </w:p>
    <w:p>
      <w:pPr>
        <w:spacing w:after="0" w:line="117" w:lineRule="exact"/>
        <w:rPr>
          <w:rFonts w:ascii="Arial" w:cs="Arial" w:eastAsia="Arial" w:hAnsi="Arial"/>
          <w:sz w:val="18"/>
          <w:szCs w:val="18"/>
          <w:b w:val="1"/>
          <w:bCs w:val="1"/>
          <w:i w:val="1"/>
          <w:iCs w:val="1"/>
          <w:color w:val="auto"/>
        </w:rPr>
      </w:pPr>
    </w:p>
    <w:p>
      <w:pPr>
        <w:jc w:val="both"/>
        <w:ind w:left="640" w:right="1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color w:val="auto"/>
        </w:rPr>
        <w:t>When you withdraw from the Plan, or when we or the Plan Administrator terminate your Plan account or discontinue the Plan, direct registration shares will be issued for all whole shares of Common Stock credited to the Plan accounts. The Plan Administrator will then make cash payments for fractional shares and deduct any selling costs from the sale proceeds before making the cash payment.</w:t>
      </w:r>
    </w:p>
    <w:p>
      <w:pPr>
        <w:spacing w:after="0" w:line="57" w:lineRule="exact"/>
        <w:rPr>
          <w:rFonts w:ascii="Arial" w:cs="Arial" w:eastAsia="Arial" w:hAnsi="Arial"/>
          <w:sz w:val="18"/>
          <w:szCs w:val="18"/>
          <w:b w:val="1"/>
          <w:bCs w:val="1"/>
          <w:i w:val="1"/>
          <w:iCs w:val="1"/>
          <w:color w:val="auto"/>
        </w:rPr>
      </w:pPr>
    </w:p>
    <w:p>
      <w:pPr>
        <w:ind w:left="640" w:right="60"/>
        <w:spacing w:after="0" w:line="342" w:lineRule="auto"/>
        <w:rPr>
          <w:rFonts w:ascii="Arial" w:cs="Arial" w:eastAsia="Arial" w:hAnsi="Arial"/>
          <w:sz w:val="18"/>
          <w:szCs w:val="18"/>
          <w:b w:val="1"/>
          <w:bCs w:val="1"/>
          <w:i w:val="1"/>
          <w:iCs w:val="1"/>
          <w:color w:val="auto"/>
        </w:rPr>
      </w:pPr>
      <w:r>
        <w:rPr>
          <w:rFonts w:ascii="Arial" w:cs="Arial" w:eastAsia="Arial" w:hAnsi="Arial"/>
          <w:sz w:val="16"/>
          <w:szCs w:val="16"/>
          <w:color w:val="auto"/>
        </w:rPr>
        <w:t>In the alternative, you may request that the Plan Administrator sell all of the shares of Common Stock, both whole and fractional, credited to your Plan account. The Plan Administrator will charge to you any related selling costs, and you will receive the sale proceeds less these costs.</w:t>
      </w:r>
    </w:p>
    <w:p>
      <w:pPr>
        <w:spacing w:after="0" w:line="272" w:lineRule="exact"/>
        <w:rPr>
          <w:rFonts w:ascii="Arial" w:cs="Arial" w:eastAsia="Arial" w:hAnsi="Arial"/>
          <w:sz w:val="18"/>
          <w:szCs w:val="18"/>
          <w:b w:val="1"/>
          <w:bCs w:val="1"/>
          <w:i w:val="1"/>
          <w:iCs w:val="1"/>
          <w:color w:val="auto"/>
        </w:rPr>
      </w:pPr>
    </w:p>
    <w:p>
      <w:pPr>
        <w:ind w:left="640" w:right="7060" w:hanging="436"/>
        <w:spacing w:after="0" w:line="531" w:lineRule="auto"/>
        <w:tabs>
          <w:tab w:leader="none" w:pos="632" w:val="left"/>
        </w:tabs>
        <w:numPr>
          <w:ilvl w:val="0"/>
          <w:numId w:val="2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Is there a grace period to re-enroll in the Plan? </w:t>
      </w:r>
      <w:r>
        <w:rPr>
          <w:rFonts w:ascii="Arial" w:cs="Arial" w:eastAsia="Arial" w:hAnsi="Arial"/>
          <w:sz w:val="15"/>
          <w:szCs w:val="15"/>
          <w:color w:val="auto"/>
        </w:rPr>
        <w:t>No. You may re-enroll in the Plan at any time.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w:t>
      </w:r>
    </w:p>
    <w:p>
      <w:pPr>
        <w:spacing w:after="0" w:line="135" w:lineRule="exact"/>
        <w:rPr>
          <w:sz w:val="20"/>
          <w:szCs w:val="20"/>
          <w:color w:val="auto"/>
        </w:rPr>
      </w:pPr>
    </w:p>
    <w:p>
      <w:pPr>
        <w:ind w:left="640" w:hanging="436"/>
        <w:spacing w:after="0"/>
        <w:tabs>
          <w:tab w:leader="none" w:pos="6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Will you issue certificates for shares of Common Stock purchased under the Plan?</w:t>
      </w:r>
    </w:p>
    <w:p>
      <w:pPr>
        <w:spacing w:after="0" w:line="117" w:lineRule="exact"/>
        <w:rPr>
          <w:rFonts w:ascii="Arial" w:cs="Arial" w:eastAsia="Arial" w:hAnsi="Arial"/>
          <w:sz w:val="18"/>
          <w:szCs w:val="18"/>
          <w:b w:val="1"/>
          <w:bCs w:val="1"/>
          <w:i w:val="1"/>
          <w:iCs w:val="1"/>
          <w:color w:val="auto"/>
        </w:rPr>
      </w:pPr>
    </w:p>
    <w:p>
      <w:pPr>
        <w:ind w:left="640" w:right="10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Shares of Common Stock purchased under the Plan will be registered in the name of EQ, or its nominee, as Plan Administrator for participants in the Plan, and certificates for such shares will not be issued to participants except upon written request. The number of shares credited to your account under the Plan will be shown on your statement of account. This procedure protects against loss, theft or destruction of stock certificates.</w:t>
      </w:r>
    </w:p>
    <w:p>
      <w:pPr>
        <w:spacing w:after="0" w:line="34" w:lineRule="exact"/>
        <w:rPr>
          <w:rFonts w:ascii="Arial" w:cs="Arial" w:eastAsia="Arial" w:hAnsi="Arial"/>
          <w:sz w:val="18"/>
          <w:szCs w:val="18"/>
          <w:b w:val="1"/>
          <w:bCs w:val="1"/>
          <w:i w:val="1"/>
          <w:iCs w:val="1"/>
          <w:color w:val="auto"/>
        </w:rPr>
      </w:pPr>
    </w:p>
    <w:p>
      <w:pPr>
        <w:ind w:left="640"/>
        <w:spacing w:after="0" w:line="274" w:lineRule="auto"/>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Shares credited to your account may be withdrawn by accessing your account online at </w:t>
      </w:r>
      <w:r>
        <w:rPr>
          <w:rFonts w:ascii="Arial" w:cs="Arial" w:eastAsia="Arial" w:hAnsi="Arial"/>
          <w:sz w:val="17"/>
          <w:szCs w:val="17"/>
          <w:b w:val="1"/>
          <w:bCs w:val="1"/>
          <w:color w:val="auto"/>
        </w:rPr>
        <w:t>shareowneronline.com</w:t>
      </w:r>
      <w:r>
        <w:rPr>
          <w:rFonts w:ascii="Arial" w:cs="Arial" w:eastAsia="Arial" w:hAnsi="Arial"/>
          <w:sz w:val="17"/>
          <w:szCs w:val="17"/>
          <w:color w:val="auto"/>
        </w:rPr>
        <w:t>, by notifying the Plan Administrator by telephone or in writing specifying the number of whole shares to be withdrawn. You may choose to have a portion or all of the whole shares credited to your Plan account delivered directly to your broker by contacting your broker. When using your broker to facilitate a share movement, provide them with a copy of your Plan account statement. You may also request in writing that any number of whole shares credited to your Plan account be issued to you in certificate form. All certificates or direct registration shares will be issued in the account holder’s name. Any remaining whole shares and fractions of a share will continue to be credited to your Plan account.</w:t>
      </w:r>
    </w:p>
    <w:p>
      <w:pPr>
        <w:spacing w:after="0" w:line="69" w:lineRule="exact"/>
        <w:rPr>
          <w:rFonts w:ascii="Arial" w:cs="Arial" w:eastAsia="Arial" w:hAnsi="Arial"/>
          <w:sz w:val="18"/>
          <w:szCs w:val="18"/>
          <w:b w:val="1"/>
          <w:bCs w:val="1"/>
          <w:i w:val="1"/>
          <w:iCs w:val="1"/>
          <w:color w:val="auto"/>
        </w:rPr>
      </w:pPr>
    </w:p>
    <w:p>
      <w:pPr>
        <w:ind w:left="640" w:right="16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Fractional share interests will not be issued in certificate or direct registration form under any circumstances. If Southwest Gas Holdings, in its sole discretion, elects to terminate the participation in the Plan by a participant holding less than one share of Common Stock in the participant’s Plan account, the Plan Administrator will pay to such participant the value of any fractional shares (less certain costs) in such Plan account.</w:t>
      </w:r>
    </w:p>
    <w:p>
      <w:pPr>
        <w:spacing w:after="0" w:line="295"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request that you sell a portion of the shares of Common Stock held in my Plan account?</w:t>
      </w:r>
    </w:p>
    <w:p>
      <w:pPr>
        <w:spacing w:after="0" w:line="117" w:lineRule="exact"/>
        <w:rPr>
          <w:rFonts w:ascii="Arial" w:cs="Arial" w:eastAsia="Arial" w:hAnsi="Arial"/>
          <w:sz w:val="18"/>
          <w:szCs w:val="18"/>
          <w:b w:val="1"/>
          <w:bCs w:val="1"/>
          <w:i w:val="1"/>
          <w:iCs w:val="1"/>
          <w:color w:val="auto"/>
        </w:rPr>
      </w:pPr>
    </w:p>
    <w:p>
      <w:pPr>
        <w:ind w:left="640" w:right="2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Yes. You can request that the Plan Administrator sell any number of whole shares of Common Stock credited to your Plan account. You will be charged for any related selling costs, and you will receive the sale proceeds less these costs.</w:t>
      </w:r>
    </w:p>
    <w:p>
      <w:pPr>
        <w:spacing w:after="0" w:line="62" w:lineRule="exact"/>
        <w:rPr>
          <w:rFonts w:ascii="Arial" w:cs="Arial" w:eastAsia="Arial" w:hAnsi="Arial"/>
          <w:sz w:val="18"/>
          <w:szCs w:val="18"/>
          <w:b w:val="1"/>
          <w:bCs w:val="1"/>
          <w:i w:val="1"/>
          <w:iCs w:val="1"/>
          <w:color w:val="auto"/>
        </w:rPr>
      </w:pPr>
    </w:p>
    <w:p>
      <w:pPr>
        <w:ind w:left="640" w:right="16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Sales are usually made through a broker, who will receive brokerage commissions. Typically, the shares are sold through the exchange on which the common shares of Southwest Gas Holdings are traded. Depending on the number of Southwest Gas Holdings shares to be sold and current trading volume, sale transactions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color w:val="auto"/>
        </w:rPr>
        <w:t>may be completed in multiple transactions and over the course of more than one day. All sales are subject to market conditions, system availability, restrictions and other factors. The actual sale date, time or price received for any shares sold through the Plan cannot be guaranteed.</w:t>
      </w:r>
    </w:p>
    <w:p>
      <w:pPr>
        <w:spacing w:after="0" w:line="16" w:lineRule="exact"/>
        <w:rPr>
          <w:sz w:val="20"/>
          <w:szCs w:val="20"/>
          <w:color w:val="auto"/>
        </w:rPr>
      </w:pPr>
    </w:p>
    <w:p>
      <w:pPr>
        <w:ind w:left="640" w:right="980"/>
        <w:spacing w:after="0" w:line="277" w:lineRule="auto"/>
        <w:rPr>
          <w:sz w:val="20"/>
          <w:szCs w:val="20"/>
          <w:color w:val="auto"/>
        </w:rPr>
      </w:pPr>
      <w:r>
        <w:rPr>
          <w:rFonts w:ascii="Arial" w:cs="Arial" w:eastAsia="Arial" w:hAnsi="Arial"/>
          <w:sz w:val="18"/>
          <w:szCs w:val="18"/>
          <w:color w:val="auto"/>
        </w:rPr>
        <w:t>Participants may instruct the Plan Administrator to sell shares under the Plan through a Batch Order, Market Order, Day Limit Order, Good-‘Til-Date/Canceled Limit Order or Stop Order.</w:t>
      </w:r>
    </w:p>
    <w:p>
      <w:pPr>
        <w:spacing w:after="0" w:line="62" w:lineRule="exact"/>
        <w:rPr>
          <w:sz w:val="20"/>
          <w:szCs w:val="20"/>
          <w:color w:val="auto"/>
        </w:rPr>
      </w:pPr>
    </w:p>
    <w:p>
      <w:pPr>
        <w:ind w:left="1200" w:right="100"/>
        <w:spacing w:after="0" w:line="257" w:lineRule="auto"/>
        <w:rPr>
          <w:sz w:val="20"/>
          <w:szCs w:val="20"/>
          <w:color w:val="auto"/>
        </w:rPr>
      </w:pPr>
      <w:r>
        <w:rPr>
          <w:rFonts w:ascii="Arial" w:cs="Arial" w:eastAsia="Arial" w:hAnsi="Arial"/>
          <w:sz w:val="18"/>
          <w:szCs w:val="18"/>
          <w:b w:val="1"/>
          <w:bCs w:val="1"/>
          <w:i w:val="1"/>
          <w:iCs w:val="1"/>
          <w:color w:val="auto"/>
        </w:rPr>
        <w:t xml:space="preserve">Batch Order (online, telephone, mail) </w:t>
      </w:r>
      <w:r>
        <w:rPr>
          <w:rFonts w:ascii="Arial" w:cs="Arial" w:eastAsia="Arial" w:hAnsi="Arial"/>
          <w:sz w:val="18"/>
          <w:szCs w:val="18"/>
          <w:color w:val="auto"/>
        </w:rPr>
        <w:t>– The Plan Administrator will combine each request to sell through the Plan with other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participant sale requests for a Batch Order. Shares are then periodically submitted in bulk to a broker for sale on the open market. Shares will be sold no later than five business days (except where deferral is necessary under state or federal regulations). Bulk sales may be executed in multiple transactions and over more than one day depending on the number of shares being sold and current trading volumes. Once entered, a Batch Order request cannot be canceled.</w:t>
      </w:r>
    </w:p>
    <w:p>
      <w:pPr>
        <w:spacing w:after="0" w:line="80" w:lineRule="exact"/>
        <w:rPr>
          <w:sz w:val="20"/>
          <w:szCs w:val="20"/>
          <w:color w:val="auto"/>
        </w:rPr>
      </w:pPr>
    </w:p>
    <w:p>
      <w:pPr>
        <w:ind w:left="1200" w:right="220"/>
        <w:spacing w:after="0" w:line="302" w:lineRule="auto"/>
        <w:rPr>
          <w:sz w:val="20"/>
          <w:szCs w:val="20"/>
          <w:color w:val="auto"/>
        </w:rPr>
      </w:pPr>
      <w:r>
        <w:rPr>
          <w:rFonts w:ascii="Arial" w:cs="Arial" w:eastAsia="Arial" w:hAnsi="Arial"/>
          <w:sz w:val="16"/>
          <w:szCs w:val="16"/>
          <w:b w:val="1"/>
          <w:bCs w:val="1"/>
          <w:i w:val="1"/>
          <w:iCs w:val="1"/>
          <w:color w:val="auto"/>
        </w:rPr>
        <w:t xml:space="preserve">Market Order (online or telephone) </w:t>
      </w:r>
      <w:r>
        <w:rPr>
          <w:rFonts w:ascii="Arial" w:cs="Arial" w:eastAsia="Arial" w:hAnsi="Arial"/>
          <w:sz w:val="16"/>
          <w:szCs w:val="16"/>
          <w:color w:val="auto"/>
        </w:rPr>
        <w:t>– The participant’s request to sell shares in a Market Order will be at the prevailing market price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when the trade is executed. If such an order is placed during market hours, the Plan Administrator will promptly submit the shares to a broker for sale on the open market. Once entered, a Market Order request cannot be canceled. Sales requests submitted near the close of the market may be executed on the next trading day, along with other requests received after market close.</w:t>
      </w:r>
    </w:p>
    <w:p>
      <w:pPr>
        <w:spacing w:after="0" w:line="46" w:lineRule="exact"/>
        <w:rPr>
          <w:sz w:val="20"/>
          <w:szCs w:val="20"/>
          <w:color w:val="auto"/>
        </w:rPr>
      </w:pPr>
    </w:p>
    <w:p>
      <w:pPr>
        <w:ind w:left="1200" w:right="40"/>
        <w:spacing w:after="0" w:line="255" w:lineRule="auto"/>
        <w:rPr>
          <w:sz w:val="20"/>
          <w:szCs w:val="20"/>
          <w:color w:val="auto"/>
        </w:rPr>
      </w:pPr>
      <w:r>
        <w:rPr>
          <w:rFonts w:ascii="Arial" w:cs="Arial" w:eastAsia="Arial" w:hAnsi="Arial"/>
          <w:sz w:val="18"/>
          <w:szCs w:val="18"/>
          <w:b w:val="1"/>
          <w:bCs w:val="1"/>
          <w:i w:val="1"/>
          <w:iCs w:val="1"/>
          <w:color w:val="auto"/>
        </w:rPr>
        <w:t xml:space="preserve">Day Limit Order (online or telephone) </w:t>
      </w:r>
      <w:r>
        <w:rPr>
          <w:rFonts w:ascii="Arial" w:cs="Arial" w:eastAsia="Arial" w:hAnsi="Arial"/>
          <w:sz w:val="18"/>
          <w:szCs w:val="18"/>
          <w:color w:val="auto"/>
        </w:rPr>
        <w:t>– The participant’s request to sell shares in a Day Limit Order will be promptly submitted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Administrator to a broker. The broker will execute as a Market Order when and if the stock reaches, or exceeds the specified price on the day the order was placed (for orders placed outside of market hours, the next trading day). The order is automatically canceled if the price is not met by the end of that trading day. Depending on the number of shares being sold and current trading volumes, the order may only be partially filled and the remainder of the order canceled. Once entered, a Day Limit Order request cannot be canceled by the participant.</w:t>
      </w:r>
    </w:p>
    <w:p>
      <w:pPr>
        <w:spacing w:after="0" w:line="85" w:lineRule="exact"/>
        <w:rPr>
          <w:sz w:val="20"/>
          <w:szCs w:val="20"/>
          <w:color w:val="auto"/>
        </w:rPr>
      </w:pPr>
    </w:p>
    <w:p>
      <w:pPr>
        <w:ind w:left="1200" w:right="40"/>
        <w:spacing w:after="0" w:line="273" w:lineRule="auto"/>
        <w:rPr>
          <w:sz w:val="20"/>
          <w:szCs w:val="20"/>
          <w:color w:val="auto"/>
        </w:rPr>
      </w:pPr>
      <w:r>
        <w:rPr>
          <w:rFonts w:ascii="Arial" w:cs="Arial" w:eastAsia="Arial" w:hAnsi="Arial"/>
          <w:sz w:val="17"/>
          <w:szCs w:val="17"/>
          <w:b w:val="1"/>
          <w:bCs w:val="1"/>
          <w:i w:val="1"/>
          <w:iCs w:val="1"/>
          <w:color w:val="auto"/>
        </w:rPr>
        <w:t xml:space="preserve">Good-‘Til-Date/Canceled (GTD/GTC) Limit Order (online or telephone) </w:t>
      </w:r>
      <w:r>
        <w:rPr>
          <w:rFonts w:ascii="Arial" w:cs="Arial" w:eastAsia="Arial" w:hAnsi="Arial"/>
          <w:sz w:val="17"/>
          <w:szCs w:val="17"/>
          <w:color w:val="auto"/>
        </w:rPr>
        <w:t>– A GTD/GTC Limit Order request will be promptly submitted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by the Plan Administrator to a broker. The broker will execute as a Market Order when and if the stock reaches, or exceeds the specified price at any time while the order remains open (up to the date requested or 90 days for GTC). Depending on the number of shares being sold and current trading volumes, sales may be executed in multiple transactions and may be traded on more than one day. The order or any unexecuted portion will be automatically canceled if the price is not met by the end of the order period. The order may also be canceled by the applicable stock exchange or the participant.</w:t>
      </w:r>
    </w:p>
    <w:p>
      <w:pPr>
        <w:spacing w:after="0" w:line="70" w:lineRule="exact"/>
        <w:rPr>
          <w:sz w:val="20"/>
          <w:szCs w:val="20"/>
          <w:color w:val="auto"/>
        </w:rPr>
      </w:pPr>
    </w:p>
    <w:p>
      <w:pPr>
        <w:ind w:left="1200" w:right="80"/>
        <w:spacing w:after="0" w:line="259" w:lineRule="auto"/>
        <w:rPr>
          <w:sz w:val="20"/>
          <w:szCs w:val="20"/>
          <w:color w:val="auto"/>
        </w:rPr>
      </w:pPr>
      <w:r>
        <w:rPr>
          <w:rFonts w:ascii="Arial" w:cs="Arial" w:eastAsia="Arial" w:hAnsi="Arial"/>
          <w:sz w:val="18"/>
          <w:szCs w:val="18"/>
          <w:b w:val="1"/>
          <w:bCs w:val="1"/>
          <w:i w:val="1"/>
          <w:iCs w:val="1"/>
          <w:color w:val="auto"/>
        </w:rPr>
        <w:t xml:space="preserve">Stop Order (online or telephone) </w:t>
      </w:r>
      <w:r>
        <w:rPr>
          <w:rFonts w:ascii="Arial" w:cs="Arial" w:eastAsia="Arial" w:hAnsi="Arial"/>
          <w:sz w:val="18"/>
          <w:szCs w:val="18"/>
          <w:color w:val="auto"/>
        </w:rPr>
        <w:t>– The Plan Administrator will promptly submit a participant’s request to sell shares in a Stop Order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broker. A sale will be executed when the stock reaches a specified price, at which time the Stop Order becomes a Market Order and the sale will be at the prevailing market price when the trade is executed. The price specified in the order must be below the current market price (generally used to limit a market loss).</w:t>
      </w:r>
    </w:p>
    <w:p>
      <w:pPr>
        <w:spacing w:after="0" w:line="79" w:lineRule="exact"/>
        <w:rPr>
          <w:sz w:val="20"/>
          <w:szCs w:val="20"/>
          <w:color w:val="auto"/>
        </w:rPr>
      </w:pPr>
    </w:p>
    <w:p>
      <w:pPr>
        <w:ind w:left="640" w:right="20"/>
        <w:spacing w:after="0" w:line="259" w:lineRule="auto"/>
        <w:rPr>
          <w:sz w:val="20"/>
          <w:szCs w:val="20"/>
          <w:color w:val="auto"/>
        </w:rPr>
      </w:pPr>
      <w:r>
        <w:rPr>
          <w:rFonts w:ascii="Arial" w:cs="Arial" w:eastAsia="Arial" w:hAnsi="Arial"/>
          <w:sz w:val="18"/>
          <w:szCs w:val="18"/>
          <w:color w:val="auto"/>
        </w:rPr>
        <w:t xml:space="preserve">Sales proceeds will be net of any fees to be paid by the participant (see Addendum A for details). The Plan Administrator will deduct any fees or applicable tax withholding from the sale proceeds. Sales processed on accounts without a valid Form W-9 for U.S. citizens or Form W-8BEN for non-U.S. citizens will be subject to Federal Backup Withholding. This tax can be avoided by furnishing the appropriate and valid form prior to the sale. Forms are available online at </w:t>
      </w:r>
      <w:r>
        <w:rPr>
          <w:rFonts w:ascii="Arial" w:cs="Arial" w:eastAsia="Arial" w:hAnsi="Arial"/>
          <w:sz w:val="18"/>
          <w:szCs w:val="18"/>
          <w:b w:val="1"/>
          <w:bCs w:val="1"/>
          <w:color w:val="auto"/>
        </w:rPr>
        <w:t>shareowneronline.com</w:t>
      </w:r>
      <w:r>
        <w:rPr>
          <w:rFonts w:ascii="Arial" w:cs="Arial" w:eastAsia="Arial" w:hAnsi="Arial"/>
          <w:sz w:val="18"/>
          <w:szCs w:val="18"/>
          <w:color w:val="auto"/>
        </w:rPr>
        <w:t>.</w:t>
      </w:r>
    </w:p>
    <w:p>
      <w:pPr>
        <w:spacing w:after="0" w:line="79" w:lineRule="exact"/>
        <w:rPr>
          <w:sz w:val="20"/>
          <w:szCs w:val="20"/>
          <w:color w:val="auto"/>
        </w:rPr>
      </w:pPr>
    </w:p>
    <w:p>
      <w:pPr>
        <w:ind w:left="640"/>
        <w:spacing w:after="0" w:line="279" w:lineRule="auto"/>
        <w:rPr>
          <w:sz w:val="20"/>
          <w:szCs w:val="20"/>
          <w:color w:val="auto"/>
        </w:rPr>
      </w:pPr>
      <w:r>
        <w:rPr>
          <w:rFonts w:ascii="Arial" w:cs="Arial" w:eastAsia="Arial" w:hAnsi="Arial"/>
          <w:sz w:val="17"/>
          <w:szCs w:val="17"/>
          <w:color w:val="auto"/>
        </w:rPr>
        <w:t>A check for the proceeds of the sale of shares (in U.S. dollars), less applicable taxes and fees, will generally be mailed by first class mail as soon as administratively possible after settlement date. If a participant submits a request to sell all or part of the Plan shares, and the participant requests net proceeds to be automatically deposited to a checking or savings account, the participant must provide a voided blank check for a checking account or blank savings deposit slip for a savings account. If the participant is unable to</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200"/>
          </w:cols>
          <w:pgMar w:left="24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40"/>
        <w:spacing w:after="0" w:line="264" w:lineRule="auto"/>
        <w:rPr>
          <w:sz w:val="20"/>
          <w:szCs w:val="20"/>
          <w:color w:val="auto"/>
        </w:rPr>
      </w:pPr>
      <w:r>
        <w:rPr>
          <w:rFonts w:ascii="Arial" w:cs="Arial" w:eastAsia="Arial" w:hAnsi="Arial"/>
          <w:sz w:val="18"/>
          <w:szCs w:val="18"/>
          <w:color w:val="auto"/>
        </w:rPr>
        <w:t>provide a voided check or deposit slip, the participant’s written request must have the participant’s signature(s) medallion guaranteed by an eligible financial institution for direct deposit. Requests for automatic deposit of sale proceeds that do not provide the required documentation will not be processed and a check for the net proceeds will be issued.</w:t>
      </w:r>
    </w:p>
    <w:p>
      <w:pPr>
        <w:spacing w:after="0" w:line="73" w:lineRule="exact"/>
        <w:rPr>
          <w:sz w:val="20"/>
          <w:szCs w:val="20"/>
          <w:color w:val="auto"/>
        </w:rPr>
      </w:pPr>
    </w:p>
    <w:p>
      <w:pPr>
        <w:jc w:val="both"/>
        <w:ind w:left="640" w:right="80"/>
        <w:spacing w:after="0" w:line="312" w:lineRule="auto"/>
        <w:rPr>
          <w:sz w:val="20"/>
          <w:szCs w:val="20"/>
          <w:color w:val="auto"/>
        </w:rPr>
      </w:pPr>
      <w:r>
        <w:rPr>
          <w:rFonts w:ascii="Arial" w:cs="Arial" w:eastAsia="Arial" w:hAnsi="Arial"/>
          <w:sz w:val="16"/>
          <w:szCs w:val="16"/>
          <w:color w:val="auto"/>
        </w:rPr>
        <w:t>A participant who wishes to sell shares currently held in certificate form may send them in for deposit to the Plan Administrator and then proceed with the sale. To sell shares through a broker of their choice, the participant may request the broker to transfer shares electronically from the Plan account to their brokerage account. Alternatively, a stock certificate can be requested in writing that the participant can deliver to their broker.</w:t>
      </w:r>
    </w:p>
    <w:p>
      <w:pPr>
        <w:spacing w:after="0" w:line="39" w:lineRule="exact"/>
        <w:rPr>
          <w:sz w:val="20"/>
          <w:szCs w:val="20"/>
          <w:color w:val="auto"/>
        </w:rPr>
      </w:pPr>
    </w:p>
    <w:p>
      <w:pPr>
        <w:ind w:left="640" w:right="160"/>
        <w:spacing w:after="0" w:line="279" w:lineRule="auto"/>
        <w:rPr>
          <w:sz w:val="20"/>
          <w:szCs w:val="20"/>
          <w:color w:val="auto"/>
        </w:rPr>
      </w:pPr>
      <w:r>
        <w:rPr>
          <w:rFonts w:ascii="Arial" w:cs="Arial" w:eastAsia="Arial" w:hAnsi="Arial"/>
          <w:sz w:val="17"/>
          <w:szCs w:val="17"/>
          <w:color w:val="auto"/>
        </w:rPr>
        <w:t>Southwest Gas Holdings’ share price may fluctuate between the time the sale request is received and the time the sale is completed on the open market. The Plan Administrator shall not be liable for any claim arising out of failure to sell on a certain date or at a specific price. Neither the Plan Administrator nor any of its affiliates will provide any investment recommendations or investment advice with respect to transactions made through the Plan. This risk should be evaluated by the participant and is a risk that is borne solely by the participant.</w:t>
      </w:r>
    </w:p>
    <w:p>
      <w:pPr>
        <w:spacing w:after="0" w:line="63" w:lineRule="exact"/>
        <w:rPr>
          <w:sz w:val="20"/>
          <w:szCs w:val="20"/>
          <w:color w:val="auto"/>
        </w:rPr>
      </w:pPr>
    </w:p>
    <w:p>
      <w:pPr>
        <w:jc w:val="both"/>
        <w:ind w:left="640" w:right="340"/>
        <w:spacing w:after="0" w:line="264" w:lineRule="auto"/>
        <w:rPr>
          <w:sz w:val="20"/>
          <w:szCs w:val="20"/>
          <w:color w:val="auto"/>
        </w:rPr>
      </w:pPr>
      <w:r>
        <w:rPr>
          <w:rFonts w:ascii="Arial" w:cs="Arial" w:eastAsia="Arial" w:hAnsi="Arial"/>
          <w:sz w:val="18"/>
          <w:szCs w:val="18"/>
          <w:color w:val="auto"/>
        </w:rPr>
        <w:t>The Insider Trading Policy provides that the participant may not trade in Southwest Gas Holdings Common Stock if in possession of material, non-public information about the company. Share sales by employees, Affiliates and Section 16 officers must be made in compliance with the Company’s Insider Trading Policy.</w:t>
      </w:r>
    </w:p>
    <w:p>
      <w:pPr>
        <w:spacing w:after="0" w:line="330" w:lineRule="exact"/>
        <w:rPr>
          <w:sz w:val="20"/>
          <w:szCs w:val="20"/>
          <w:color w:val="auto"/>
        </w:rPr>
      </w:pPr>
    </w:p>
    <w:p>
      <w:pPr>
        <w:ind w:left="640" w:hanging="436"/>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pledge or assign shares of Common Stock in my Plan account?</w:t>
      </w:r>
    </w:p>
    <w:p>
      <w:pPr>
        <w:spacing w:after="0" w:line="117" w:lineRule="exact"/>
        <w:rPr>
          <w:rFonts w:ascii="Arial" w:cs="Arial" w:eastAsia="Arial" w:hAnsi="Arial"/>
          <w:sz w:val="18"/>
          <w:szCs w:val="18"/>
          <w:b w:val="1"/>
          <w:bCs w:val="1"/>
          <w:i w:val="1"/>
          <w:iCs w:val="1"/>
          <w:color w:val="auto"/>
        </w:rPr>
      </w:pPr>
    </w:p>
    <w:p>
      <w:pPr>
        <w:ind w:left="640" w:right="5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No. You may not pledge or assign shares of Common Stock credited to your Plan account. If you wish to assign or pledge shares, you must request in writing that certificates for the shares or direct registration of the shares be issued in your name.</w:t>
      </w:r>
    </w:p>
    <w:p>
      <w:pPr>
        <w:spacing w:after="0" w:line="31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How will my shares of Common Stock be voted at meetings of shareholders?</w:t>
      </w:r>
    </w:p>
    <w:p>
      <w:pPr>
        <w:spacing w:after="0" w:line="117" w:lineRule="exact"/>
        <w:rPr>
          <w:rFonts w:ascii="Arial" w:cs="Arial" w:eastAsia="Arial" w:hAnsi="Arial"/>
          <w:sz w:val="18"/>
          <w:szCs w:val="18"/>
          <w:b w:val="1"/>
          <w:bCs w:val="1"/>
          <w:i w:val="1"/>
          <w:iCs w:val="1"/>
          <w:color w:val="auto"/>
        </w:rPr>
      </w:pPr>
    </w:p>
    <w:p>
      <w:pPr>
        <w:ind w:left="640" w:right="40"/>
        <w:spacing w:after="0" w:line="342" w:lineRule="auto"/>
        <w:rPr>
          <w:rFonts w:ascii="Arial" w:cs="Arial" w:eastAsia="Arial" w:hAnsi="Arial"/>
          <w:sz w:val="18"/>
          <w:szCs w:val="18"/>
          <w:b w:val="1"/>
          <w:bCs w:val="1"/>
          <w:i w:val="1"/>
          <w:iCs w:val="1"/>
          <w:color w:val="auto"/>
        </w:rPr>
      </w:pPr>
      <w:r>
        <w:rPr>
          <w:rFonts w:ascii="Arial" w:cs="Arial" w:eastAsia="Arial" w:hAnsi="Arial"/>
          <w:sz w:val="16"/>
          <w:szCs w:val="16"/>
          <w:color w:val="auto"/>
        </w:rPr>
        <w:t>Participants in the Plan will receive voting materials and have the sole right to vote the Common Stock of Southwest Gas Holdings represented by the shares held for them in the Plan. In the event the participant does not provide direction for voting, the Plan shares will not be voted.</w:t>
      </w:r>
    </w:p>
    <w:p>
      <w:pPr>
        <w:spacing w:after="0" w:line="15" w:lineRule="exact"/>
        <w:rPr>
          <w:rFonts w:ascii="Arial" w:cs="Arial" w:eastAsia="Arial" w:hAnsi="Arial"/>
          <w:sz w:val="18"/>
          <w:szCs w:val="18"/>
          <w:b w:val="1"/>
          <w:bCs w:val="1"/>
          <w:i w:val="1"/>
          <w:iCs w:val="1"/>
          <w:color w:val="auto"/>
        </w:rPr>
      </w:pPr>
    </w:p>
    <w:p>
      <w:pPr>
        <w:ind w:left="640" w:right="36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The participant is encouraged to read the information carefully. Votes may be submitted online, by telephone or by returning the signed, dated proxy card. A participant’s shares will be voted in accordance with the most recent submitted instructions.</w:t>
      </w:r>
    </w:p>
    <w:p>
      <w:pPr>
        <w:spacing w:after="0" w:line="31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are your and the Plan Administrator’s liabilities under the Plan?</w:t>
      </w:r>
    </w:p>
    <w:p>
      <w:pPr>
        <w:spacing w:after="0" w:line="117" w:lineRule="exact"/>
        <w:rPr>
          <w:sz w:val="20"/>
          <w:szCs w:val="20"/>
          <w:color w:val="auto"/>
        </w:rPr>
      </w:pPr>
    </w:p>
    <w:p>
      <w:pPr>
        <w:ind w:left="640"/>
        <w:spacing w:after="0" w:line="302" w:lineRule="auto"/>
        <w:rPr>
          <w:sz w:val="20"/>
          <w:szCs w:val="20"/>
          <w:color w:val="auto"/>
        </w:rPr>
      </w:pPr>
      <w:r>
        <w:rPr>
          <w:rFonts w:ascii="Arial" w:cs="Arial" w:eastAsia="Arial" w:hAnsi="Arial"/>
          <w:sz w:val="16"/>
          <w:szCs w:val="16"/>
          <w:color w:val="auto"/>
        </w:rPr>
        <w:t>The Plan provides that we and any Plan Administrator will not be liable for any act done in good faith or any good faith omission, including, without limitation, (i) any claim of liability arising out of failure to terminate your Plan account upon your death prior to our receipt of legally sufficient instructions to do so, (ii) with respect to prices at which shares of Common Stock are purchased or sold for the Participant’s account, (iii) the times when such purchases or sales are made or (iv) with respect to any fluctuation in the market value after the purchase or sale of shares.</w:t>
      </w:r>
    </w:p>
    <w:p>
      <w:pPr>
        <w:spacing w:after="0" w:line="46" w:lineRule="exact"/>
        <w:rPr>
          <w:sz w:val="20"/>
          <w:szCs w:val="20"/>
          <w:color w:val="auto"/>
        </w:rPr>
      </w:pPr>
    </w:p>
    <w:p>
      <w:pPr>
        <w:ind w:left="640" w:right="100"/>
        <w:spacing w:after="0" w:line="259" w:lineRule="auto"/>
        <w:rPr>
          <w:sz w:val="20"/>
          <w:szCs w:val="20"/>
          <w:color w:val="auto"/>
        </w:rPr>
      </w:pPr>
      <w:r>
        <w:rPr>
          <w:rFonts w:ascii="Arial" w:cs="Arial" w:eastAsia="Arial" w:hAnsi="Arial"/>
          <w:sz w:val="18"/>
          <w:szCs w:val="18"/>
          <w:color w:val="auto"/>
        </w:rPr>
        <w:t>The Plan Administrator is acting solely as agent for us and owes no duties, fiduciary or otherwise, to any other person by reason of this Plan, and no implied duties, fiduciary or otherwise, shall be read into this Plan. The Plan Administrator undertakes to perform such duties and only such duties as are expressly set forth herein, to be performed by it, and no implied covenants or obligations shall be read into this Plan against the Plan Administrator or us.</w:t>
      </w:r>
    </w:p>
    <w:p>
      <w:pPr>
        <w:spacing w:after="0" w:line="79"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color w:val="auto"/>
        </w:rPr>
        <w:t>In the absence of negligence or willful misconduct on its part, the Plan Administrator, whether acting directly or through agents or attorneys, shall not be liable for any action taken, suffered, or omitted or for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64" w:lineRule="auto"/>
        <w:rPr>
          <w:sz w:val="20"/>
          <w:szCs w:val="20"/>
          <w:color w:val="auto"/>
        </w:rPr>
      </w:pPr>
      <w:r>
        <w:rPr>
          <w:rFonts w:ascii="Arial" w:cs="Arial" w:eastAsia="Arial" w:hAnsi="Arial"/>
          <w:sz w:val="18"/>
          <w:szCs w:val="18"/>
          <w:color w:val="auto"/>
        </w:rPr>
        <w:t>any error of judgment made by it in the performance of its duties hereunder. In no event shall we or the Plan Administrator be liable for special, indirect or consequential loss or damage of any kind whatsoever (including but not limited to lost profit), even if we or the Plan Administrator has been advised of the likelihood of such loss or damage and regardless of the form of action.</w:t>
      </w:r>
    </w:p>
    <w:p>
      <w:pPr>
        <w:spacing w:after="0" w:line="73" w:lineRule="exact"/>
        <w:rPr>
          <w:sz w:val="20"/>
          <w:szCs w:val="20"/>
          <w:color w:val="auto"/>
        </w:rPr>
      </w:pPr>
    </w:p>
    <w:p>
      <w:pPr>
        <w:ind w:left="640" w:right="240"/>
        <w:spacing w:after="0" w:line="312" w:lineRule="auto"/>
        <w:rPr>
          <w:sz w:val="20"/>
          <w:szCs w:val="20"/>
          <w:color w:val="auto"/>
        </w:rPr>
      </w:pPr>
      <w:r>
        <w:rPr>
          <w:rFonts w:ascii="Arial" w:cs="Arial" w:eastAsia="Arial" w:hAnsi="Arial"/>
          <w:sz w:val="16"/>
          <w:szCs w:val="16"/>
          <w:color w:val="auto"/>
        </w:rPr>
        <w:t>Neither we nor the Plan Administrator shall: (i) be required to and shall make no representations and have no responsibilities as to the validity, accuracy, value or genuineness of any signatures or endorsements, other than our or its own; and (ii) be obligated to take any legal action hereunder that might, in our or its judgment, involve any expense or liability, unless we or it have been furnished with reasonable indemnity.</w:t>
      </w:r>
    </w:p>
    <w:p>
      <w:pPr>
        <w:spacing w:after="0" w:line="39" w:lineRule="exact"/>
        <w:rPr>
          <w:sz w:val="20"/>
          <w:szCs w:val="20"/>
          <w:color w:val="auto"/>
        </w:rPr>
      </w:pPr>
    </w:p>
    <w:p>
      <w:pPr>
        <w:ind w:left="640"/>
        <w:spacing w:after="0" w:line="273" w:lineRule="auto"/>
        <w:rPr>
          <w:sz w:val="20"/>
          <w:szCs w:val="20"/>
          <w:color w:val="auto"/>
        </w:rPr>
      </w:pPr>
      <w:r>
        <w:rPr>
          <w:rFonts w:ascii="Arial" w:cs="Arial" w:eastAsia="Arial" w:hAnsi="Arial"/>
          <w:sz w:val="17"/>
          <w:szCs w:val="17"/>
          <w:color w:val="auto"/>
        </w:rPr>
        <w:t>Neither we nor the Plan Administrator shall be responsible or liable for any failure or delay in the performance of the obligations under this Plan arising out of or caused, directly or indirectly, by circumstances beyond our or its reasonable control, including, without limitation, acts of God; earthquakes; fires; floods; wars; civil or military disturbances; sabotage; epidemics; riots; interruptions, loss or malfunctions of utilities; computer (hardware or software) or communications services; accidents; labor disputes; acts of civil or military authority or governmental actions; it being understood that the Plan Administrator shall use reasonable efforts which are consistent with accepted practices in the stock investment plan industry to resume performance as soon as administratively possible under the circumstances.</w:t>
      </w:r>
    </w:p>
    <w:p>
      <w:pPr>
        <w:spacing w:after="0" w:line="70"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color w:val="auto"/>
        </w:rPr>
        <w:t>YOU SHOULD RECOGNIZE THAT NEITHER SOUTHWEST GAS HOLDINGS NOR THE PLAN ADMINISTRATOR CAN ASSURE YOU OF PROFITS OR PROTECT YOU AGAINST LOSSES IN THE VALUE OF THE SHARES OF COMMON STOCK PURCHASED UNDER THE PLAN OR ASSURE YOU OF ANY FUTURE DIVIDENDS.</w:t>
      </w:r>
    </w:p>
    <w:p>
      <w:pPr>
        <w:spacing w:after="0" w:line="73"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color w:val="auto"/>
        </w:rPr>
        <w:t>This Plan is purely voluntary on our part. Neither the Plan’s establishment nor any amendment nor the creation of any Plan account will be construed as giving Participants any legal or equitable rights against us or the Plan Administrator unless specifically provided for in the Plan or conferred by the Plan Administrators’ or our affirmative actions according to the terms and provisions in the Plan. These actions will not be construed as giving any employee the right to be retained in our service.</w:t>
      </w:r>
    </w:p>
    <w:p>
      <w:pPr>
        <w:spacing w:after="0" w:line="79" w:lineRule="exact"/>
        <w:rPr>
          <w:sz w:val="20"/>
          <w:szCs w:val="20"/>
          <w:color w:val="auto"/>
        </w:rPr>
      </w:pPr>
    </w:p>
    <w:p>
      <w:pPr>
        <w:jc w:val="both"/>
        <w:ind w:left="640" w:right="20"/>
        <w:spacing w:after="0" w:line="286" w:lineRule="auto"/>
        <w:rPr>
          <w:sz w:val="20"/>
          <w:szCs w:val="20"/>
          <w:color w:val="auto"/>
        </w:rPr>
      </w:pPr>
      <w:r>
        <w:rPr>
          <w:rFonts w:ascii="Arial" w:cs="Arial" w:eastAsia="Arial" w:hAnsi="Arial"/>
          <w:sz w:val="17"/>
          <w:szCs w:val="17"/>
          <w:color w:val="auto"/>
        </w:rPr>
        <w:t>Southwest Gas Holdings Common Stock is not insured by the FDIC or any other government agency, are not deposits or other obligations of, and are not guaranteed by, EQ Shareowners Services or the Company, and are subject to investment risks, including possible loss of principal amount invested. Common stock held in the Plan are not subject to protection under the Securities Investor Protection Act of 1970.</w:t>
      </w:r>
    </w:p>
    <w:p>
      <w:pPr>
        <w:spacing w:after="0" w:line="314" w:lineRule="exact"/>
        <w:rPr>
          <w:sz w:val="20"/>
          <w:szCs w:val="20"/>
          <w:color w:val="auto"/>
        </w:rPr>
      </w:pPr>
    </w:p>
    <w:p>
      <w:pPr>
        <w:ind w:left="640" w:hanging="436"/>
        <w:spacing w:after="0"/>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you modify, suspend or discontinue the Plan?</w:t>
      </w:r>
    </w:p>
    <w:p>
      <w:pPr>
        <w:spacing w:after="0" w:line="117" w:lineRule="exact"/>
        <w:rPr>
          <w:rFonts w:ascii="Arial" w:cs="Arial" w:eastAsia="Arial" w:hAnsi="Arial"/>
          <w:sz w:val="18"/>
          <w:szCs w:val="18"/>
          <w:b w:val="1"/>
          <w:bCs w:val="1"/>
          <w:i w:val="1"/>
          <w:iCs w:val="1"/>
          <w:color w:val="auto"/>
        </w:rPr>
      </w:pPr>
    </w:p>
    <w:p>
      <w:pPr>
        <w:ind w:left="640" w:right="8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Yes. We reserve the right to suspend, modify or discontinue the Plan at any time and to interpret and regulate the Plan as we deem necessary or desirable in connection with the operation of the Plan. Notice of any suspension, modification or termination will be mailed to you at the address shown in the Plan Administrator’s records.</w:t>
      </w:r>
    </w:p>
    <w:p>
      <w:pPr>
        <w:spacing w:after="0" w:line="32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you make a rights offering?</w:t>
      </w:r>
    </w:p>
    <w:p>
      <w:pPr>
        <w:spacing w:after="0" w:line="117" w:lineRule="exact"/>
        <w:rPr>
          <w:rFonts w:ascii="Arial" w:cs="Arial" w:eastAsia="Arial" w:hAnsi="Arial"/>
          <w:sz w:val="18"/>
          <w:szCs w:val="18"/>
          <w:b w:val="1"/>
          <w:bCs w:val="1"/>
          <w:i w:val="1"/>
          <w:iCs w:val="1"/>
          <w:color w:val="auto"/>
        </w:rPr>
      </w:pPr>
    </w:p>
    <w:p>
      <w:pPr>
        <w:jc w:val="both"/>
        <w:ind w:left="640" w:right="140"/>
        <w:spacing w:after="0" w:line="264" w:lineRule="auto"/>
        <w:rPr>
          <w:rFonts w:ascii="Arial" w:cs="Arial" w:eastAsia="Arial" w:hAnsi="Arial"/>
          <w:sz w:val="18"/>
          <w:szCs w:val="18"/>
          <w:b w:val="1"/>
          <w:bCs w:val="1"/>
          <w:i w:val="1"/>
          <w:iCs w:val="1"/>
          <w:color w:val="auto"/>
        </w:rPr>
      </w:pPr>
      <w:r>
        <w:rPr>
          <w:rFonts w:ascii="Arial" w:cs="Arial" w:eastAsia="Arial" w:hAnsi="Arial"/>
          <w:sz w:val="18"/>
          <w:szCs w:val="18"/>
          <w:color w:val="auto"/>
        </w:rPr>
        <w:t>In the event that Southwest Gas Holdings makes available to its shareowners any rights to subscribe for additional Common Stock, the rights to subscribe will be based on any shares held in and outside of the Plan. Any new shares distributed by Southwest Gas Holdings resulting from the exercise of the rights will be issued directly to the participant.</w:t>
      </w:r>
    </w:p>
    <w:p>
      <w:pPr>
        <w:spacing w:after="0" w:line="32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What happens if you declare a stock split or issue a stock dividend?</w:t>
      </w:r>
    </w:p>
    <w:p>
      <w:pPr>
        <w:spacing w:after="0" w:line="117" w:lineRule="exact"/>
        <w:rPr>
          <w:rFonts w:ascii="Arial" w:cs="Arial" w:eastAsia="Arial" w:hAnsi="Arial"/>
          <w:sz w:val="18"/>
          <w:szCs w:val="18"/>
          <w:b w:val="1"/>
          <w:bCs w:val="1"/>
          <w:i w:val="1"/>
          <w:iCs w:val="1"/>
          <w:color w:val="auto"/>
        </w:rPr>
      </w:pPr>
    </w:p>
    <w:p>
      <w:pPr>
        <w:ind w:left="640" w:right="4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color w:val="auto"/>
        </w:rPr>
        <w:t>It is understood that any stock dividends or stock splits distributed by Southwest Gas Holdings on Common Stock held by the Plan Administrator for the participant will be credited to the participant’s account. This will include all whole and fractional shares.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60"/>
          </w:cols>
          <w:pgMar w:left="24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May I obtain the complete text of the Plan?</w:t>
      </w:r>
    </w:p>
    <w:p>
      <w:pPr>
        <w:spacing w:after="0" w:line="113" w:lineRule="exact"/>
        <w:rPr>
          <w:rFonts w:ascii="Arial" w:cs="Arial" w:eastAsia="Arial" w:hAnsi="Arial"/>
          <w:sz w:val="18"/>
          <w:szCs w:val="18"/>
          <w:b w:val="1"/>
          <w:bCs w:val="1"/>
          <w:i w:val="1"/>
          <w:iCs w:val="1"/>
          <w:color w:val="auto"/>
        </w:rPr>
      </w:pPr>
    </w:p>
    <w:p>
      <w:pPr>
        <w:ind w:left="64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 xml:space="preserve">Yes. You may request a copy of the Plan online at </w:t>
      </w:r>
      <w:r>
        <w:rPr>
          <w:rFonts w:ascii="Arial" w:cs="Arial" w:eastAsia="Arial" w:hAnsi="Arial"/>
          <w:sz w:val="17"/>
          <w:szCs w:val="17"/>
          <w:b w:val="1"/>
          <w:bCs w:val="1"/>
          <w:color w:val="auto"/>
        </w:rPr>
        <w:t>shareowneronline.com</w:t>
      </w:r>
      <w:r>
        <w:rPr>
          <w:rFonts w:ascii="Arial" w:cs="Arial" w:eastAsia="Arial" w:hAnsi="Arial"/>
          <w:sz w:val="17"/>
          <w:szCs w:val="17"/>
          <w:color w:val="auto"/>
        </w:rPr>
        <w:t xml:space="preserve">, by telephone or through the mail (see </w:t>
      </w:r>
      <w:r>
        <w:rPr>
          <w:rFonts w:ascii="Arial" w:cs="Arial" w:eastAsia="Arial" w:hAnsi="Arial"/>
          <w:sz w:val="17"/>
          <w:szCs w:val="17"/>
          <w:b w:val="1"/>
          <w:bCs w:val="1"/>
          <w:color w:val="auto"/>
        </w:rPr>
        <w:t>Contact Information</w:t>
      </w:r>
      <w:r>
        <w:rPr>
          <w:rFonts w:ascii="Arial" w:cs="Arial" w:eastAsia="Arial" w:hAnsi="Arial"/>
          <w:sz w:val="17"/>
          <w:szCs w:val="17"/>
          <w:color w:val="auto"/>
        </w:rPr>
        <w:t>).</w:t>
      </w:r>
    </w:p>
    <w:p>
      <w:pPr>
        <w:spacing w:after="0" w:line="389" w:lineRule="exact"/>
        <w:rPr>
          <w:rFonts w:ascii="Arial" w:cs="Arial" w:eastAsia="Arial" w:hAnsi="Arial"/>
          <w:sz w:val="18"/>
          <w:szCs w:val="18"/>
          <w:b w:val="1"/>
          <w:bCs w:val="1"/>
          <w:i w:val="1"/>
          <w:iCs w:val="1"/>
          <w:color w:val="auto"/>
        </w:rPr>
      </w:pPr>
    </w:p>
    <w:p>
      <w:pPr>
        <w:ind w:left="640" w:hanging="436"/>
        <w:spacing w:after="0"/>
        <w:tabs>
          <w:tab w:leader="none" w:pos="640" w:val="left"/>
        </w:tabs>
        <w:numPr>
          <w:ilvl w:val="0"/>
          <w:numId w:val="2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 it important that I stay in contact with the Company through the Plan Administrator?</w:t>
      </w:r>
    </w:p>
    <w:p>
      <w:pPr>
        <w:spacing w:after="0" w:line="117" w:lineRule="exact"/>
        <w:rPr>
          <w:rFonts w:ascii="Arial" w:cs="Arial" w:eastAsia="Arial" w:hAnsi="Arial"/>
          <w:sz w:val="18"/>
          <w:szCs w:val="18"/>
          <w:b w:val="1"/>
          <w:bCs w:val="1"/>
          <w:i w:val="1"/>
          <w:iCs w:val="1"/>
          <w:color w:val="auto"/>
        </w:rPr>
      </w:pPr>
    </w:p>
    <w:p>
      <w:pPr>
        <w:ind w:left="640"/>
        <w:spacing w:after="0" w:line="255" w:lineRule="auto"/>
        <w:rPr>
          <w:rFonts w:ascii="Arial" w:cs="Arial" w:eastAsia="Arial" w:hAnsi="Arial"/>
          <w:sz w:val="18"/>
          <w:szCs w:val="18"/>
          <w:b w:val="1"/>
          <w:bCs w:val="1"/>
          <w:i w:val="1"/>
          <w:iCs w:val="1"/>
          <w:color w:val="auto"/>
        </w:rPr>
      </w:pPr>
      <w:r>
        <w:rPr>
          <w:rFonts w:ascii="Arial" w:cs="Arial" w:eastAsia="Arial" w:hAnsi="Arial"/>
          <w:sz w:val="18"/>
          <w:szCs w:val="18"/>
          <w:color w:val="auto"/>
        </w:rPr>
        <w:t>Yes. Many state unclaimed property laws specify that if an account owner does not initiate “active contact” with the Plan Administrator during any state’s specified period, the property in the account may be deemed “abandoned.” For accounts that meet a state’s definition of “abandoned,” the Plan Administrator may be legally required to transfer the property in the account, including shares and dividends, to the state of the account’s last known residence. To prevent this from occurring, Participants should cash dividend checks and respond as directed to mailings requesting that they contact the Plan Administrator, and immediately notify the Plan Administrator of any change of address online, by telephone or through the mail.</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80"/>
          </w:cols>
          <w:pgMar w:left="24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FEDERAL INCOME TAX CONSEQUENCES OF THE PLAN</w:t>
      </w:r>
    </w:p>
    <w:p>
      <w:pPr>
        <w:spacing w:after="0" w:line="229" w:lineRule="exact"/>
        <w:rPr>
          <w:sz w:val="20"/>
          <w:szCs w:val="20"/>
          <w:color w:val="auto"/>
        </w:rPr>
      </w:pPr>
    </w:p>
    <w:p>
      <w:pPr>
        <w:jc w:val="both"/>
        <w:ind w:left="200" w:right="100" w:firstLine="441"/>
        <w:spacing w:after="0" w:line="297" w:lineRule="auto"/>
        <w:rPr>
          <w:sz w:val="20"/>
          <w:szCs w:val="20"/>
          <w:color w:val="auto"/>
        </w:rPr>
      </w:pPr>
      <w:r>
        <w:rPr>
          <w:rFonts w:ascii="Arial" w:cs="Arial" w:eastAsia="Arial" w:hAnsi="Arial"/>
          <w:sz w:val="16"/>
          <w:szCs w:val="16"/>
          <w:color w:val="auto"/>
        </w:rPr>
        <w:t>The following is a brief summary of some of the principal U.S. federal income tax considerations applicable, as of the date of this prospectus, to participation in the Plan. It is based on the Internal Revenue Code of 1986, as amended, United States Treasury Regulations, administrative rulings and court decisions, in effect as of the date of this prospectus, all of which are subject to change at any time, possibly with retroactive effect. This summary is not a complete description of all of the tax consequences of your participation in the Plan. For example, it does not address any state, local or foreign tax consequences of your participation. You should consult your own tax adviser about the tax consequences of your participation in the Plan.</w:t>
      </w:r>
    </w:p>
    <w:p>
      <w:pPr>
        <w:spacing w:after="0" w:line="15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general, Participants have the same U.S. federal income tax consequences with respect to dividends as shareholders not participating in the Plan. On each dividend payment date, you will be treated for U.S. federal income tax purposes as having received a distribution equal to the full amount of the cash dividends payable on both the shares of Common Stock registered in your own name and the Common Stock held through the Plan, even though the amount of dividends reinvested is not actually received in cash, but is instead applied to the purchase of our Common Stock for your account under the Plan. In addition, the amount of brokerage commissions paid by us on your behalf (where Common Stock is purchased on the open market) is treated as a distribution to you which is subject to income tax in the same manner as dividends. Generally, any such distribution will be taxable to you as ordinary dividend income to the extent of your share of our current or accumulated earnings and profits. The amount of any distribution in excess of your share of our earnings and profits, not taxable as ordinary dividend income, will reduce your tax basis in the Common Stock with respect to which the distribution was received, and, to the extent it exceeds your tax basis, as gain from a sale of that Common Stock.</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Your statement of account under the Plan shows the price per share to you of Common Stock purchased with reinvested dividends. That price, which includes the brokerage commissions paid by us on your behalf on purchase under the Plan of shares of Common Stock, is your federal income tax basis of shares of Common Stock acquired under the Plan.</w:t>
      </w:r>
    </w:p>
    <w:p>
      <w:pPr>
        <w:spacing w:after="0" w:line="18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Plan requires Participants to reinvest a minimum of 10% of the dividends (if any) paid on shares held in the Plan and therefore qualifies as a “dividend reinvestment plan” (DRP) under Treasury Regulation 1.1012-1(e)(6)(i). This should enable Participants to elect to use the ‘average basis method’ when determining the tax basis of shares sold. If the average basis method is elected, a taxpayer averages the basis of all shares of identical stock held in an account, regardless of holding period.</w:t>
      </w:r>
    </w:p>
    <w:p>
      <w:pPr>
        <w:spacing w:after="0" w:line="18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Plan assumes that each Participant will use the first-in, first-out (FIFO) method when determining the tax basis of any shares sold. Participants may designate their preference for a different method of determining the tax basis of shares by identifying this preference in writing to the Plan Administrator at any time. Participants may designate their preference for specific identification cost basis or for the average basis method (effective for sales occurring after the election). These rules are complex, and you should consult your tax advisors regarding the methods for determining your adjusted basis.</w:t>
      </w:r>
    </w:p>
    <w:p>
      <w:pPr>
        <w:spacing w:after="0" w:line="188"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Your statement of account also shows the date on which the shares of Common Stock purchased under the Plan were credited to your account. Your holding period for Common Stock purchased under the Plan generally begins on the date following the date on which those shares of Common Stock are credited to your Plan account.</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You will receive an annual statement summarizing all the transactions in your account for that year. The year-end statement includes an information return (1099-DIV) summarizing dividends paid to you during the year and brokerage commissions reportable for U.S. federal income tax purposes. These dividends and brokerage commissions must be reported on your federal income tax return. If applicable, you also receive an information return summarizing proceeds from sales transactions during the prior year (1099-B) or an information return for dividends paid on non-U.S. accounts (1042-S). The Plan Administrator provides copies of these information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color w:val="auto"/>
        </w:rPr>
        <w:t>returns to the Internal Revenue Service. Although efforts are made to assist Participants by providing periodic statements and other reports, Participants have the ultimate responsibility for maintaining their own records for tax and other purposes.</w:t>
      </w:r>
    </w:p>
    <w:p>
      <w:pPr>
        <w:spacing w:after="0" w:line="170"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Reinvested dividends are not subject to backup withholding unless (1) you fail to give your Social Security or tax identification number to the Plan Administrator, (2) the Internal Revenue Service notifies us that you are subject to tax withholding, or (3) you fail to certify, under penalties of perjury, that you are not subject to backup withholding if such certification is required. If you are subject to backup withholding on dividends under the Plan, the amount of tax withheld will reduce the amount of the dividend to be reinvested in Common Stock. Your statement of account under the Plan indicates the amount of tax withheld.</w:t>
      </w:r>
    </w:p>
    <w:p>
      <w:pPr>
        <w:spacing w:after="0" w:line="188"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You will not realize a gain or loss for federal income tax purposes upon receipt of a certificate for whole shares of Common Stock credited to your account under the Plan, whether upon request for such a certificate, upon termination of your participation in the Plan or upon termination of the Plan. However, you may realize a gain or loss upon receipt of a cash payment for whole shares of Common Stock or a fractional common share credited to your account under the Plan when that account is terminated by you, when shares of Common Stock credited to your account under the Plan are sold or when the Plan is terminated. You may also realize a gain or loss upon your disposition of the Common Stock received from the Plan. The amount of any such gain or loss generally will be the difference between the amount you receive for the whole or fractional shares of Common Stock and the tax basis of those shares of Common Stock. Generally, gain or loss realized on the disposition of shares of Common Stock acquired under the Plan will be treated for U.S. federal income tax purposes as a long-term capital gain or loss if, as of the date of such disposition, the holding period with respect to the shares of Common Stock sold exceeds one year; if the shares are held for a shorter period, the gain or loss will be short-term capital gain or loss.</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A foreign person (nonresident alien individual or foreign entity) is subject to tax withholding at a 30% rate on the gross amount of certain payments of U.S. source income, including dividends, unless the beneficial owner of the payment is entitled to a reduced rate of, or exemption from, withholding tax under an income tax treaty. Foreign entity owned accounts may also be subject to 30% withholding on all applicable U.S. sourced income, including dividends, as required by the Foreign Account Tax Compliance Act (“FATCA”). The Internal Revenue Service recently issued proposed regulations providing that gross proceeds received from the sale, maturity or exchange of securities that can produce U.S. sourced dividends or interest will not be subject to potential FATCA withholding (previously, withholding on such amounts was scheduled to become effective on January 1, 2019). Taxpayers may rely on these proposed regulations until final regulations are issued; however, final regulations could reinstate this withholding obligation at any time, possibly with retroactive effect. If you are subject to FATCA withholding on dividends under the Plan, the amount of tax withheld will reduce the amount of the dividend to be reinvested in Common Stock. Foreign persons should consult with their tax advisors or counsel as to which tax certification form they are required to provide and for more specific information regarding the withholding requirements under Chapters 3 and 4 (FATCA) of the Internal Revenue Code, including with respect to withholding on the gross proceeds received from the disposition of Common Stock.</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Shares of Common Stock for Participants under the Plan will either be directly purchased from us or through the Plan Administrator in the open market. We will pay any brokerage commissions or service fees for purchases of shares of Common Stock under the Plan and certain costs for administration of the Plan. (See </w:t>
      </w:r>
      <w:r>
        <w:rPr>
          <w:rFonts w:ascii="Arial" w:cs="Arial" w:eastAsia="Arial" w:hAnsi="Arial"/>
          <w:sz w:val="17"/>
          <w:szCs w:val="17"/>
          <w:b w:val="1"/>
          <w:bCs w:val="1"/>
          <w:color w:val="auto"/>
        </w:rPr>
        <w:t>Addendum A</w:t>
      </w:r>
      <w:r>
        <w:rPr>
          <w:rFonts w:ascii="Arial" w:cs="Arial" w:eastAsia="Arial" w:hAnsi="Arial"/>
          <w:sz w:val="17"/>
          <w:szCs w:val="17"/>
          <w:color w:val="auto"/>
        </w:rPr>
        <w:t xml:space="preserve"> attached hereto and Question 14 above.) We have agreed to indemnify the Plan Administrator and certain of its affiliates for certain liabilities incurred in connection with services performed in relation to the Plan.</w:t>
      </w:r>
    </w:p>
    <w:p>
      <w:pPr>
        <w:spacing w:after="0" w:line="38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INTERESTS OF NAMED COUNSEL</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Mr. Thomas Moran, Esq., Corporate Secretary/Legal Counsel of the Company has opined upon the validity of the shares of Common Stock offered by this prospectus supplement. We employ Mr. Moran on a full-time basis.</w:t>
      </w:r>
    </w:p>
    <w:p>
      <w:pPr>
        <w:spacing w:after="0" w:line="38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2018 have been so incorporated in reliance on the report (which contains an explanatory paragraph on the effectiveness of internal control over financial reporting due to the exclusion of certain elements of the internal control over financial reporting of Linetec Services, LLC, which the registrant acquired during the year ended December 31, 2018) of PricewaterhouseCoopers LLP, an independent registered public accounting firm, given on the authority of said firm as experts in auditing and accounting.</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5836920</wp:posOffset>
            </wp:positionH>
            <wp:positionV relativeFrom="paragraph">
              <wp:posOffset>205740</wp:posOffset>
            </wp:positionV>
            <wp:extent cx="1294765" cy="943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29476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Addendum A</w:t>
      </w:r>
    </w:p>
    <w:p>
      <w:pPr>
        <w:spacing w:after="0" w:line="27"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Southwest Gas Holdings, Inc.</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Dividend Reinvestment and Direct Stock Purchase Plan Fees</w:t>
      </w:r>
    </w:p>
    <w:p>
      <w:pPr>
        <w:spacing w:after="0" w:line="9" w:lineRule="exact"/>
        <w:rPr>
          <w:sz w:val="20"/>
          <w:szCs w:val="20"/>
          <w:color w:val="auto"/>
        </w:rPr>
      </w:pPr>
    </w:p>
    <w:p>
      <w:pPr>
        <w:jc w:val="right"/>
        <w:ind w:right="20"/>
        <w:spacing w:after="0"/>
        <w:rPr>
          <w:sz w:val="20"/>
          <w:szCs w:val="20"/>
          <w:color w:val="auto"/>
        </w:rPr>
      </w:pPr>
      <w:r>
        <w:rPr>
          <w:rFonts w:ascii="Arial" w:cs="Arial" w:eastAsia="Arial" w:hAnsi="Arial"/>
          <w:sz w:val="18"/>
          <w:szCs w:val="18"/>
          <w:b w:val="1"/>
          <w:bCs w:val="1"/>
          <w:color w:val="auto"/>
        </w:rPr>
        <w:t>As of September 23, 2019</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The fee amounts set forth herein are current only as of September 23, 2019 and are subject to change by the Plan Administrator.</w:t>
      </w:r>
    </w:p>
    <w:p>
      <w:pPr>
        <w:spacing w:after="0" w:line="329"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Investment Summary and Fees</w:t>
            </w:r>
          </w:p>
        </w:tc>
        <w:tc>
          <w:tcPr>
            <w:tcW w:w="47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Summary</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rPr>
              <w:t>Minimum cash investments</w:t>
            </w: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Minimum one-time initial purchase for new investors</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Minimum one-time optional cash investment</w:t>
            </w:r>
          </w:p>
        </w:tc>
        <w:tc>
          <w:tcPr>
            <w:tcW w:w="4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Minimum recurring automatic investments</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rPr>
              <w:t>Maximum cash investments</w:t>
            </w: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Maximum annual investment</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rPr>
              <w:t>Dividend reinvestment options</w:t>
            </w: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Reinvest options</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Full, Partial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i w:val="1"/>
                <w:iCs w:val="1"/>
                <w:color w:val="auto"/>
              </w:rPr>
              <w:t>Fees</w:t>
            </w: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Investment Fees</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Initial enrollment (new investors only)</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 reinvestment</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060"/>
              <w:spacing w:after="0"/>
              <w:rPr>
                <w:sz w:val="20"/>
                <w:szCs w:val="20"/>
                <w:color w:val="auto"/>
              </w:rPr>
            </w:pPr>
            <w:r>
              <w:rPr>
                <w:rFonts w:ascii="Arial" w:cs="Arial" w:eastAsia="Arial" w:hAnsi="Arial"/>
                <w:sz w:val="18"/>
                <w:szCs w:val="18"/>
                <w:color w:val="auto"/>
              </w:rPr>
              <w:t>Shareowners owning less than 99 shares</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Shareowners owning 99 shares or more</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Check investment</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One-time automatic investment</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Recurring automatic investment</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 purchase trading commission per share</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w w:val="99"/>
              </w:rPr>
              <w:t>Optional cash purchase trading commission per share</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Sales fees</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Batch Order</w:t>
            </w:r>
          </w:p>
        </w:tc>
        <w:tc>
          <w:tcPr>
            <w:tcW w:w="4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Market Order</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Limit Order per transaction (Day/GTD/GTC)</w:t>
            </w:r>
          </w:p>
        </w:tc>
        <w:tc>
          <w:tcPr>
            <w:tcW w:w="4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Stop Order</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Sale trading commission per share</w:t>
            </w:r>
          </w:p>
        </w:tc>
        <w:tc>
          <w:tcPr>
            <w:tcW w:w="4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Direct deposit of sale proceeds</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340"/>
              <w:spacing w:after="0"/>
              <w:rPr>
                <w:sz w:val="20"/>
                <w:szCs w:val="20"/>
                <w:color w:val="auto"/>
              </w:rPr>
            </w:pPr>
            <w:r>
              <w:rPr>
                <w:rFonts w:ascii="Arial" w:cs="Arial" w:eastAsia="Arial" w:hAnsi="Arial"/>
                <w:sz w:val="18"/>
                <w:szCs w:val="18"/>
                <w:b w:val="1"/>
                <w:bCs w:val="1"/>
                <w:color w:val="auto"/>
              </w:rPr>
              <w:t>Other fees</w:t>
            </w:r>
          </w:p>
        </w:tc>
        <w:tc>
          <w:tcPr>
            <w:tcW w:w="4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Certificate issuance</w:t>
            </w:r>
          </w:p>
        </w:tc>
        <w:tc>
          <w:tcPr>
            <w:tcW w:w="47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Certificate deposit</w:t>
            </w:r>
          </w:p>
        </w:tc>
        <w:tc>
          <w:tcPr>
            <w:tcW w:w="47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w w:val="98"/>
              </w:rPr>
              <w:t>Company Paid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7"/>
              </w:rPr>
              <w:t>Returned check / Rejected automatic bank withdrawals</w:t>
            </w:r>
          </w:p>
        </w:tc>
        <w:tc>
          <w:tcPr>
            <w:tcW w:w="47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 per item</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700"/>
              <w:spacing w:after="0"/>
              <w:rPr>
                <w:sz w:val="20"/>
                <w:szCs w:val="20"/>
                <w:color w:val="auto"/>
              </w:rPr>
            </w:pPr>
            <w:r>
              <w:rPr>
                <w:rFonts w:ascii="Arial" w:cs="Arial" w:eastAsia="Arial" w:hAnsi="Arial"/>
                <w:sz w:val="18"/>
                <w:szCs w:val="18"/>
                <w:color w:val="auto"/>
              </w:rPr>
              <w:t>Prior year duplicate statements</w:t>
            </w:r>
          </w:p>
        </w:tc>
        <w:tc>
          <w:tcPr>
            <w:tcW w:w="4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w w:val="99"/>
              </w:rPr>
              <w:t>15.00 per year</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760" w:type="dxa"/>
            <w:vAlign w:val="bottom"/>
          </w:tcPr>
          <w:p>
            <w:pPr>
              <w:jc w:val="right"/>
              <w:ind w:right="4010"/>
              <w:spacing w:after="0"/>
              <w:rPr>
                <w:sz w:val="20"/>
                <w:szCs w:val="20"/>
                <w:color w:val="auto"/>
              </w:rPr>
            </w:pPr>
            <w:r>
              <w:rPr>
                <w:rFonts w:ascii="Arial" w:cs="Arial" w:eastAsia="Arial" w:hAnsi="Arial"/>
                <w:sz w:val="18"/>
                <w:szCs w:val="18"/>
                <w:color w:val="auto"/>
              </w:rPr>
              <w:t>S-25</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2294890</wp:posOffset>
            </wp:positionH>
            <wp:positionV relativeFrom="paragraph">
              <wp:posOffset>172085</wp:posOffset>
            </wp:positionV>
            <wp:extent cx="2667000" cy="6686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2667000" cy="6686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995045</wp:posOffset>
            </wp:positionV>
            <wp:extent cx="3232785" cy="4972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323278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Southwest Gas Corporation</w:t>
      </w: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Guarantees of Debt Securities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Depositary Shares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Units</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194310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30" w:lineRule="exact"/>
        <w:rPr>
          <w:sz w:val="20"/>
          <w:szCs w:val="20"/>
          <w:color w:val="auto"/>
        </w:rPr>
      </w:pPr>
    </w:p>
    <w:p>
      <w:pPr>
        <w:ind w:left="200" w:right="360" w:firstLine="441"/>
        <w:spacing w:after="0" w:line="293" w:lineRule="auto"/>
        <w:rPr>
          <w:sz w:val="20"/>
          <w:szCs w:val="20"/>
          <w:color w:val="auto"/>
        </w:rPr>
      </w:pPr>
      <w:r>
        <w:rPr>
          <w:rFonts w:ascii="Arial" w:cs="Arial" w:eastAsia="Arial" w:hAnsi="Arial"/>
          <w:sz w:val="16"/>
          <w:szCs w:val="16"/>
          <w:color w:val="auto"/>
        </w:rPr>
        <w:t>Southwest Gas Holdings, Inc. may offer and sell any combination of the following securities from time to time in amounts, at prices and on terms that will be determined at the time of any such offering:</w:t>
      </w:r>
    </w:p>
    <w:p>
      <w:pPr>
        <w:spacing w:after="0" w:line="77" w:lineRule="exact"/>
        <w:rPr>
          <w:sz w:val="20"/>
          <w:szCs w:val="20"/>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common stock;</w:t>
      </w:r>
    </w:p>
    <w:p>
      <w:pPr>
        <w:spacing w:after="0" w:line="140"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preferred stock;</w:t>
      </w:r>
    </w:p>
    <w:p>
      <w:pPr>
        <w:spacing w:after="0" w:line="140" w:lineRule="exact"/>
        <w:rPr>
          <w:rFonts w:ascii="Arial" w:cs="Arial" w:eastAsia="Arial" w:hAnsi="Arial"/>
          <w:sz w:val="16"/>
          <w:szCs w:val="16"/>
          <w:color w:val="auto"/>
        </w:rPr>
      </w:pPr>
    </w:p>
    <w:p>
      <w:pPr>
        <w:ind w:left="1060" w:right="460" w:hanging="316"/>
        <w:spacing w:after="0" w:line="293"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debt securities, which may or may not be guaranteed by one or more of its directly or indirectly wholly owned subsidiaries if indicated in the relevant prospectus supplement;</w:t>
      </w:r>
    </w:p>
    <w:p>
      <w:pPr>
        <w:spacing w:after="0" w:line="77"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guarantees of debt securities issued by Southwest Gas Corporation;</w:t>
      </w:r>
    </w:p>
    <w:p>
      <w:pPr>
        <w:spacing w:after="0" w:line="140"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depositary shares;</w:t>
      </w:r>
    </w:p>
    <w:p>
      <w:pPr>
        <w:spacing w:after="0" w:line="140" w:lineRule="exact"/>
        <w:rPr>
          <w:rFonts w:ascii="Arial" w:cs="Arial" w:eastAsia="Arial" w:hAnsi="Arial"/>
          <w:sz w:val="16"/>
          <w:szCs w:val="16"/>
          <w:color w:val="auto"/>
        </w:rPr>
      </w:pPr>
    </w:p>
    <w:p>
      <w:pPr>
        <w:ind w:left="1060" w:hanging="316"/>
        <w:spacing w:after="0" w:line="293"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warrants to purchase common stock, preferred stock or depositary shares issued by Southwest Gas Holdings, Inc. or debt securities issued by Southwest Gas Holdings, Inc. or Southwest Gas Corporation;</w:t>
      </w:r>
    </w:p>
    <w:p>
      <w:pPr>
        <w:spacing w:after="0" w:line="77"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units; and</w:t>
      </w:r>
    </w:p>
    <w:p>
      <w:pPr>
        <w:spacing w:after="0" w:line="140" w:lineRule="exact"/>
        <w:rPr>
          <w:rFonts w:ascii="Arial" w:cs="Arial" w:eastAsia="Arial" w:hAnsi="Arial"/>
          <w:sz w:val="16"/>
          <w:szCs w:val="16"/>
          <w:color w:val="auto"/>
        </w:rPr>
      </w:pPr>
    </w:p>
    <w:p>
      <w:pPr>
        <w:ind w:left="1060" w:hanging="316"/>
        <w:spacing w:after="0"/>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rights.</w:t>
      </w:r>
    </w:p>
    <w:p>
      <w:pPr>
        <w:spacing w:after="0" w:line="127" w:lineRule="exact"/>
        <w:rPr>
          <w:sz w:val="20"/>
          <w:szCs w:val="20"/>
          <w:color w:val="auto"/>
        </w:rPr>
      </w:pPr>
    </w:p>
    <w:p>
      <w:pPr>
        <w:ind w:left="200" w:right="500" w:firstLine="441"/>
        <w:spacing w:after="0" w:line="293" w:lineRule="auto"/>
        <w:rPr>
          <w:sz w:val="20"/>
          <w:szCs w:val="20"/>
          <w:color w:val="auto"/>
        </w:rPr>
      </w:pPr>
      <w:r>
        <w:rPr>
          <w:rFonts w:ascii="Arial" w:cs="Arial" w:eastAsia="Arial" w:hAnsi="Arial"/>
          <w:sz w:val="16"/>
          <w:szCs w:val="16"/>
          <w:color w:val="auto"/>
        </w:rPr>
        <w:t>Southwest Gas Corporation may offer and sell any combination of the following securities from time to time in amounts, at prices and on terms that will be determined at the time of any such offering:</w:t>
      </w:r>
    </w:p>
    <w:p>
      <w:pPr>
        <w:spacing w:after="0" w:line="77" w:lineRule="exact"/>
        <w:rPr>
          <w:sz w:val="20"/>
          <w:szCs w:val="20"/>
          <w:color w:val="auto"/>
        </w:rPr>
      </w:pPr>
    </w:p>
    <w:p>
      <w:pPr>
        <w:ind w:left="1060" w:right="180" w:hanging="316"/>
        <w:spacing w:after="0" w:line="293"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debt securities, which may or may not be guaranteed by Southwest Gas Holdings, Inc. and may or may not be guaranteed by one or more of its directly or indirectly wholly owned subsidiaries if indicated in the relevant prospectus supplement; and</w:t>
      </w:r>
    </w:p>
    <w:p>
      <w:pPr>
        <w:spacing w:after="0" w:line="77" w:lineRule="exact"/>
        <w:rPr>
          <w:rFonts w:ascii="Arial" w:cs="Arial" w:eastAsia="Arial" w:hAnsi="Arial"/>
          <w:sz w:val="16"/>
          <w:szCs w:val="16"/>
          <w:color w:val="auto"/>
        </w:rPr>
      </w:pPr>
    </w:p>
    <w:p>
      <w:pPr>
        <w:ind w:left="1060" w:right="40" w:hanging="316"/>
        <w:spacing w:after="0" w:line="293" w:lineRule="auto"/>
        <w:tabs>
          <w:tab w:leader="none" w:pos="10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guarantees of debt securities issued by Southwest Gas Holdings, Inc. or by one or more of its directly or indirectly wholly owned subsidiaries if indicated in the relevant prospectus supplement.</w:t>
      </w:r>
    </w:p>
    <w:p>
      <w:pPr>
        <w:spacing w:after="0" w:line="172" w:lineRule="exact"/>
        <w:rPr>
          <w:sz w:val="20"/>
          <w:szCs w:val="20"/>
          <w:color w:val="auto"/>
        </w:rPr>
      </w:pPr>
    </w:p>
    <w:p>
      <w:pPr>
        <w:ind w:left="200" w:right="80" w:firstLine="441"/>
        <w:spacing w:after="0" w:line="278" w:lineRule="auto"/>
        <w:rPr>
          <w:sz w:val="20"/>
          <w:szCs w:val="20"/>
          <w:color w:val="auto"/>
        </w:rPr>
      </w:pPr>
      <w:r>
        <w:rPr>
          <w:rFonts w:ascii="Arial" w:cs="Arial" w:eastAsia="Arial" w:hAnsi="Arial"/>
          <w:sz w:val="16"/>
          <w:szCs w:val="16"/>
          <w:color w:val="auto"/>
        </w:rPr>
        <w:t>This prospectus describes some of the general terms that may apply to these securities. We will provide the specific terms of these securities, including their offering prices, in prospectus supplements to this prospectus. Any prospectus supplements may also add, update or change information contained in this prospectus. You should carefully read both this prospectus and any prospectus supplement before you invest.</w:t>
      </w:r>
    </w:p>
    <w:p>
      <w:pPr>
        <w:spacing w:after="0" w:line="184"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Southwest Gas Holdings, Inc.’s common stock is listed on the New York Stock Exchange under the symbol “SWX.” On December 12, 2017, the reported last sale price on the New York Stock Exchange for our common stock was $80.48 per share.</w:t>
      </w:r>
    </w:p>
    <w:p>
      <w:pPr>
        <w:spacing w:after="0" w:line="17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6"/>
          <w:szCs w:val="16"/>
          <w:color w:val="auto"/>
        </w:rPr>
        <w:t>These securities may be offered and sold to or through one or more underwriters, dealers and agents or directly to purchasers or through a combination of these methods, on a continuous or delayed basis. You can find additional information about our plan of distribution for the securities under the heading “Plan of Distribution” beginning on page 19 of this prospectus. We will also describe the plan of distribution for any particular offering of these securities in the prospectus supplement. This prospectus may not be used to sell our securities unless it is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0" w:lineRule="exact"/>
        <w:rPr>
          <w:sz w:val="20"/>
          <w:szCs w:val="20"/>
          <w:color w:val="auto"/>
        </w:rPr>
      </w:pPr>
    </w:p>
    <w:p>
      <w:pPr>
        <w:ind w:left="200" w:right="140" w:firstLine="441"/>
        <w:spacing w:after="0" w:line="298" w:lineRule="auto"/>
        <w:rPr>
          <w:sz w:val="20"/>
          <w:szCs w:val="20"/>
          <w:color w:val="auto"/>
        </w:rPr>
      </w:pPr>
      <w:r>
        <w:rPr>
          <w:rFonts w:ascii="Arial" w:cs="Arial" w:eastAsia="Arial" w:hAnsi="Arial"/>
          <w:sz w:val="16"/>
          <w:szCs w:val="16"/>
          <w:b w:val="1"/>
          <w:bCs w:val="1"/>
          <w:color w:val="auto"/>
        </w:rPr>
        <w:t>Investing in our securities involves risks. You should consider the risk factors described in any accompanying prospectus supplement or any documents we incorporate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164465</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6" w:lineRule="exact"/>
        <w:rPr>
          <w:sz w:val="20"/>
          <w:szCs w:val="20"/>
          <w:color w:val="auto"/>
        </w:rPr>
      </w:pPr>
    </w:p>
    <w:p>
      <w:pPr>
        <w:ind w:left="200" w:right="200" w:firstLine="441"/>
        <w:spacing w:after="0" w:line="29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164465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20"/>
          </w:cols>
          <w:pgMar w:left="240" w:top="459" w:right="439" w:bottom="361" w:gutter="0" w:footer="0" w:header="0"/>
        </w:sectPr>
      </w:pPr>
    </w:p>
    <w:p>
      <w:pPr>
        <w:spacing w:after="0" w:line="299"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auto"/>
        </w:rPr>
        <w:t>The date of this prospectus is December 13, 2017</w:t>
      </w:r>
    </w:p>
    <w:p>
      <w:pPr>
        <w:sectPr>
          <w:pgSz w:w="11900" w:h="16838" w:orient="portrait"/>
          <w:cols w:equalWidth="0" w:num="1">
            <w:col w:w="11220"/>
          </w:cols>
          <w:pgMar w:left="240" w:top="459" w:right="439" w:bottom="361"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8560" w:type="dxa"/>
            <w:vAlign w:val="bottom"/>
            <w:gridSpan w:val="20"/>
          </w:tcPr>
          <w:p>
            <w:pPr>
              <w:spacing w:after="0"/>
              <w:rPr>
                <w:sz w:val="20"/>
                <w:szCs w:val="20"/>
                <w:color w:val="auto"/>
              </w:rPr>
            </w:pPr>
            <w:r>
              <w:rPr>
                <w:rFonts w:ascii="Arial" w:cs="Arial" w:eastAsia="Arial" w:hAnsi="Arial"/>
                <w:sz w:val="14"/>
                <w:szCs w:val="14"/>
                <w:b w:val="1"/>
                <w:bCs w:val="1"/>
                <w:color w:val="auto"/>
              </w:rPr>
              <w:t>Caption</w:t>
            </w:r>
          </w:p>
        </w:tc>
        <w:tc>
          <w:tcPr>
            <w:tcW w:w="24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r>
      <w:tr>
        <w:trPr>
          <w:trHeight w:val="149"/>
        </w:trPr>
        <w:tc>
          <w:tcPr>
            <w:tcW w:w="520" w:type="dxa"/>
            <w:vAlign w:val="bottom"/>
            <w:tcBorders>
              <w:top w:val="single" w:sz="8" w:color="auto"/>
              <w:bottom w:val="single" w:sz="8" w:color="0000EE"/>
            </w:tcBorders>
          </w:tcPr>
          <w:p>
            <w:pPr>
              <w:spacing w:after="0" w:line="136" w:lineRule="exact"/>
              <w:rPr>
                <w:rFonts w:ascii="Arial" w:cs="Arial" w:eastAsia="Arial" w:hAnsi="Arial"/>
                <w:sz w:val="15"/>
                <w:szCs w:val="15"/>
                <w:color w:val="0000EE"/>
                <w:w w:val="96"/>
              </w:rPr>
            </w:pPr>
            <w:hyperlink w:anchor="page32">
              <w:r>
                <w:rPr>
                  <w:rFonts w:ascii="Arial" w:cs="Arial" w:eastAsia="Arial" w:hAnsi="Arial"/>
                  <w:sz w:val="15"/>
                  <w:szCs w:val="15"/>
                  <w:color w:val="0000EE"/>
                  <w:w w:val="96"/>
                </w:rPr>
                <w:t>ABOUT</w:t>
              </w:r>
            </w:hyperlink>
          </w:p>
        </w:tc>
        <w:tc>
          <w:tcPr>
            <w:tcW w:w="1720" w:type="dxa"/>
            <w:vAlign w:val="bottom"/>
            <w:tcBorders>
              <w:bottom w:val="single" w:sz="8" w:color="0000EE"/>
            </w:tcBorders>
            <w:gridSpan w:val="9"/>
          </w:tcPr>
          <w:p>
            <w:pPr>
              <w:ind w:left="140"/>
              <w:spacing w:after="0" w:line="129" w:lineRule="exact"/>
              <w:rPr>
                <w:rFonts w:ascii="Arial" w:cs="Arial" w:eastAsia="Arial" w:hAnsi="Arial"/>
                <w:sz w:val="14"/>
                <w:szCs w:val="14"/>
                <w:color w:val="0000EE"/>
              </w:rPr>
            </w:pPr>
            <w:hyperlink w:anchor="page32">
              <w:r>
                <w:rPr>
                  <w:rFonts w:ascii="Arial" w:cs="Arial" w:eastAsia="Arial" w:hAnsi="Arial"/>
                  <w:sz w:val="14"/>
                  <w:szCs w:val="14"/>
                  <w:color w:val="0000EE"/>
                </w:rPr>
                <w:t>THIS PROSPECTUS</w:t>
              </w:r>
            </w:hyperlink>
          </w:p>
        </w:tc>
        <w:tc>
          <w:tcPr>
            <w:tcW w:w="6320" w:type="dxa"/>
            <w:vAlign w:val="bottom"/>
            <w:gridSpan w:val="10"/>
          </w:tcPr>
          <w:p>
            <w:pPr>
              <w:spacing w:after="0"/>
              <w:rPr>
                <w:sz w:val="12"/>
                <w:szCs w:val="12"/>
                <w:color w:val="auto"/>
              </w:rPr>
            </w:pPr>
          </w:p>
        </w:tc>
        <w:tc>
          <w:tcPr>
            <w:tcW w:w="212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r>
      <w:tr>
        <w:trPr>
          <w:trHeight w:val="210"/>
        </w:trPr>
        <w:tc>
          <w:tcPr>
            <w:tcW w:w="8560" w:type="dxa"/>
            <w:vAlign w:val="bottom"/>
            <w:gridSpan w:val="20"/>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CAUTIONARY STATEMENT REGARDING FORWARD-LOOKING INFORMATION</w:t>
              </w:r>
            </w:hyperlink>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13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OUR COMPANY</w:t>
              </w:r>
            </w:hyperlink>
          </w:p>
        </w:tc>
        <w:tc>
          <w:tcPr>
            <w:tcW w:w="5120" w:type="dxa"/>
            <w:vAlign w:val="bottom"/>
            <w:tcBorders>
              <w:top w:val="single" w:sz="8" w:color="0000EE"/>
            </w:tcBorders>
            <w:gridSpan w:val="15"/>
          </w:tcPr>
          <w:p>
            <w:pPr>
              <w:spacing w:after="0"/>
              <w:rPr>
                <w:sz w:val="17"/>
                <w:szCs w:val="17"/>
                <w:color w:val="auto"/>
              </w:rPr>
            </w:pPr>
          </w:p>
        </w:tc>
        <w:tc>
          <w:tcPr>
            <w:tcW w:w="2120" w:type="dxa"/>
            <w:vAlign w:val="bottom"/>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36">
              <w:r>
                <w:rPr>
                  <w:rFonts w:ascii="Arial" w:cs="Arial" w:eastAsia="Arial" w:hAnsi="Arial"/>
                  <w:sz w:val="18"/>
                  <w:szCs w:val="18"/>
                  <w:color w:val="0000EE"/>
                  <w:w w:val="93"/>
                </w:rPr>
                <w:t>RISK FACTORS</w:t>
              </w:r>
            </w:hyperlink>
          </w:p>
        </w:tc>
        <w:tc>
          <w:tcPr>
            <w:tcW w:w="7300" w:type="dxa"/>
            <w:vAlign w:val="bottom"/>
            <w:gridSpan w:val="17"/>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 OF EARNINGS TO FIXED CHARGES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8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DESCRIPTION OF CAPITAL STOCK</w:t>
              </w:r>
            </w:hyperlink>
          </w:p>
        </w:tc>
        <w:tc>
          <w:tcPr>
            <w:tcW w:w="620" w:type="dxa"/>
            <w:vAlign w:val="bottom"/>
            <w:tcBorders>
              <w:top w:val="single" w:sz="8" w:color="0000EE"/>
            </w:tcBorders>
            <w:gridSpan w:val="3"/>
          </w:tcPr>
          <w:p>
            <w:pPr>
              <w:spacing w:after="0"/>
              <w:rPr>
                <w:sz w:val="17"/>
                <w:szCs w:val="17"/>
                <w:color w:val="auto"/>
              </w:rPr>
            </w:pPr>
          </w:p>
        </w:tc>
        <w:tc>
          <w:tcPr>
            <w:tcW w:w="5060" w:type="dxa"/>
            <w:vAlign w:val="bottom"/>
            <w:gridSpan w:val="3"/>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DESCRIPTION OF DEBT SECURITIES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70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5"/>
              </w:rPr>
            </w:pPr>
            <w:hyperlink w:anchor="page46">
              <w:r>
                <w:rPr>
                  <w:rFonts w:ascii="Arial" w:cs="Arial" w:eastAsia="Arial" w:hAnsi="Arial"/>
                  <w:sz w:val="18"/>
                  <w:szCs w:val="18"/>
                  <w:color w:val="0000EE"/>
                  <w:w w:val="95"/>
                </w:rPr>
                <w:t>DESCRIPTION OF GUARANTEES</w:t>
              </w:r>
            </w:hyperlink>
          </w:p>
        </w:tc>
        <w:tc>
          <w:tcPr>
            <w:tcW w:w="320" w:type="dxa"/>
            <w:vAlign w:val="bottom"/>
            <w:tcBorders>
              <w:top w:val="single" w:sz="8" w:color="0000EE"/>
            </w:tcBorders>
            <w:gridSpan w:val="3"/>
          </w:tcPr>
          <w:p>
            <w:pPr>
              <w:spacing w:after="0"/>
              <w:rPr>
                <w:sz w:val="17"/>
                <w:szCs w:val="17"/>
                <w:color w:val="auto"/>
              </w:rPr>
            </w:pPr>
          </w:p>
        </w:tc>
        <w:tc>
          <w:tcPr>
            <w:tcW w:w="5540" w:type="dxa"/>
            <w:vAlign w:val="bottom"/>
            <w:gridSpan w:val="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DEPOSITARY SHARES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WARRANTS</w:t>
              </w:r>
            </w:hyperlink>
          </w:p>
        </w:tc>
        <w:tc>
          <w:tcPr>
            <w:tcW w:w="5240" w:type="dxa"/>
            <w:vAlign w:val="bottom"/>
            <w:gridSpan w:val="4"/>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8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DESCRIPTION OF UNITS</w:t>
              </w:r>
            </w:hyperlink>
          </w:p>
        </w:tc>
        <w:tc>
          <w:tcPr>
            <w:tcW w:w="6080" w:type="dxa"/>
            <w:vAlign w:val="bottom"/>
            <w:gridSpan w:val="9"/>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4740" w:type="dxa"/>
            <w:vAlign w:val="bottom"/>
            <w:gridSpan w:val="2"/>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DESCRIPTION OF RIGHTS</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0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53">
              <w:r>
                <w:rPr>
                  <w:rFonts w:ascii="Arial" w:cs="Arial" w:eastAsia="Arial" w:hAnsi="Arial"/>
                  <w:sz w:val="18"/>
                  <w:szCs w:val="18"/>
                  <w:color w:val="0000EE"/>
                  <w:w w:val="97"/>
                </w:rPr>
                <w:t>PLAN OF DISTRIBUTION</w:t>
              </w:r>
            </w:hyperlink>
          </w:p>
        </w:tc>
        <w:tc>
          <w:tcPr>
            <w:tcW w:w="80" w:type="dxa"/>
            <w:vAlign w:val="bottom"/>
            <w:tcBorders>
              <w:top w:val="single" w:sz="8" w:color="0000EE"/>
            </w:tcBorders>
          </w:tcPr>
          <w:p>
            <w:pPr>
              <w:spacing w:after="0"/>
              <w:rPr>
                <w:sz w:val="17"/>
                <w:szCs w:val="17"/>
                <w:color w:val="auto"/>
              </w:rPr>
            </w:pPr>
          </w:p>
        </w:tc>
        <w:tc>
          <w:tcPr>
            <w:tcW w:w="6420" w:type="dxa"/>
            <w:vAlign w:val="bottom"/>
            <w:gridSpan w:val="11"/>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3820" w:type="dxa"/>
            <w:vAlign w:val="bottom"/>
            <w:tcBorders>
              <w:bottom w:val="single" w:sz="8" w:color="0000EE"/>
            </w:tcBorders>
            <w:gridSpan w:val="18"/>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WHERE YOU CAN FIND MORE INFORMATION</w:t>
              </w:r>
            </w:hyperlink>
          </w:p>
        </w:tc>
        <w:tc>
          <w:tcPr>
            <w:tcW w:w="4740" w:type="dxa"/>
            <w:vAlign w:val="bottom"/>
            <w:gridSpan w:val="2"/>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856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INCORPORATION BY REFERENCE</w:t>
              </w:r>
            </w:hyperlink>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EXPERTS</w:t>
              </w:r>
            </w:hyperlink>
          </w:p>
        </w:tc>
        <w:tc>
          <w:tcPr>
            <w:tcW w:w="2040" w:type="dxa"/>
            <w:vAlign w:val="bottom"/>
            <w:tcBorders>
              <w:top w:val="single" w:sz="8" w:color="0000EE"/>
            </w:tcBorders>
            <w:gridSpan w:val="11"/>
          </w:tcPr>
          <w:p>
            <w:pPr>
              <w:spacing w:after="0"/>
              <w:rPr>
                <w:sz w:val="17"/>
                <w:szCs w:val="17"/>
                <w:color w:val="auto"/>
              </w:rPr>
            </w:pPr>
          </w:p>
        </w:tc>
        <w:tc>
          <w:tcPr>
            <w:tcW w:w="5740" w:type="dxa"/>
            <w:vAlign w:val="bottom"/>
            <w:gridSpan w:val="7"/>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1460" w:type="dxa"/>
            <w:vAlign w:val="bottom"/>
            <w:tcBorders>
              <w:bottom w:val="single" w:sz="8" w:color="0000EE"/>
            </w:tcBorders>
            <w:gridSpan w:val="5"/>
          </w:tcPr>
          <w:p>
            <w:pPr>
              <w:spacing w:after="0" w:line="196" w:lineRule="exact"/>
              <w:rPr>
                <w:rFonts w:ascii="Arial" w:cs="Arial" w:eastAsia="Arial" w:hAnsi="Arial"/>
                <w:sz w:val="18"/>
                <w:szCs w:val="18"/>
                <w:color w:val="0000EE"/>
                <w:w w:val="96"/>
              </w:rPr>
            </w:pPr>
            <w:hyperlink w:anchor="page56">
              <w:r>
                <w:rPr>
                  <w:rFonts w:ascii="Arial" w:cs="Arial" w:eastAsia="Arial" w:hAnsi="Arial"/>
                  <w:sz w:val="18"/>
                  <w:szCs w:val="18"/>
                  <w:color w:val="0000EE"/>
                  <w:w w:val="96"/>
                </w:rPr>
                <w:t>LEGAL MATTERS</w:t>
              </w:r>
            </w:hyperlink>
          </w:p>
        </w:tc>
        <w:tc>
          <w:tcPr>
            <w:tcW w:w="7100" w:type="dxa"/>
            <w:vAlign w:val="bottom"/>
            <w:gridSpan w:val="15"/>
          </w:tcPr>
          <w:p>
            <w:pPr>
              <w:spacing w:after="0"/>
              <w:rPr>
                <w:sz w:val="17"/>
                <w:szCs w:val="17"/>
                <w:color w:val="auto"/>
              </w:rPr>
            </w:pPr>
          </w:p>
        </w:tc>
        <w:tc>
          <w:tcPr>
            <w:tcW w:w="24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25</w:t>
            </w:r>
          </w:p>
        </w:tc>
      </w:tr>
    </w:tbl>
    <w:p>
      <w:pPr>
        <w:spacing w:after="0" w:line="225" w:lineRule="exact"/>
        <w:rPr>
          <w:sz w:val="20"/>
          <w:szCs w:val="20"/>
          <w:color w:val="auto"/>
        </w:rPr>
      </w:pPr>
    </w:p>
    <w:p>
      <w:pPr>
        <w:ind w:left="200" w:right="120" w:firstLine="992"/>
        <w:spacing w:after="0" w:line="273" w:lineRule="auto"/>
        <w:rPr>
          <w:sz w:val="20"/>
          <w:szCs w:val="20"/>
          <w:color w:val="auto"/>
        </w:rPr>
      </w:pPr>
      <w:r>
        <w:rPr>
          <w:rFonts w:ascii="Arial" w:cs="Arial" w:eastAsia="Arial" w:hAnsi="Arial"/>
          <w:sz w:val="17"/>
          <w:szCs w:val="17"/>
          <w:b w:val="1"/>
          <w:bCs w:val="1"/>
          <w:color w:val="auto"/>
        </w:rPr>
        <w:t>You should rely only on the information contained or incorporated by reference in this prospectus, in any accompanying prospectus supplement or in any free writing prospectus filed by us with the Securities and Exchange Commission (the “SEC”). We have not authorized any other person to provide you with different information. If anyone provides you with different or inconsistent information, you should not rely on it. You should assume that the information appearing in this prospectus and any prospectus supplement or in any such free writing prospectus is accurate as of the dates on their covers. Our business, financial condition, results of operations and prospects may have changed since those dates. Any information contained on or accessible through our Internet site is not incorporated herein and does not constitute part of this prospectus.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This prospectus is part of a registration statement that we filed with the SEC under the Securities Act of 1933, as amended (the “Securities Act”), utilizing a “shelf” registration process. Under this shelf registration process, we may, from time to time, sell in one or more offerings any of our securities described in this prospectus.</w:t>
      </w:r>
    </w:p>
    <w:p>
      <w:pPr>
        <w:spacing w:after="0" w:line="181" w:lineRule="exact"/>
        <w:rPr>
          <w:sz w:val="20"/>
          <w:szCs w:val="20"/>
          <w:color w:val="auto"/>
        </w:rPr>
      </w:pPr>
    </w:p>
    <w:p>
      <w:pPr>
        <w:ind w:left="200" w:right="20" w:firstLine="992"/>
        <w:spacing w:after="0" w:line="302" w:lineRule="auto"/>
        <w:rPr>
          <w:sz w:val="20"/>
          <w:szCs w:val="20"/>
          <w:color w:val="auto"/>
        </w:rPr>
      </w:pPr>
      <w:r>
        <w:rPr>
          <w:rFonts w:ascii="Arial" w:cs="Arial" w:eastAsia="Arial" w:hAnsi="Arial"/>
          <w:sz w:val="16"/>
          <w:szCs w:val="16"/>
          <w:color w:val="auto"/>
        </w:rPr>
        <w:t>This prospectus provides you with a general description of the securities that we may offer. Each time we sell securities, we will provide a prospectus supplement that will contain specific information about the terms of that offering, including the specific amounts, prices and terms of the securities offered. The prospectus supplement may also add, update or change information contained in this prospectus. If there is any inconsistency between the information in this prospectus and a prospectus supplement, you should rely on the information in that prospectus supplement.</w:t>
      </w:r>
    </w:p>
    <w:p>
      <w:pPr>
        <w:spacing w:after="0" w:line="154" w:lineRule="exact"/>
        <w:rPr>
          <w:sz w:val="20"/>
          <w:szCs w:val="20"/>
          <w:color w:val="auto"/>
        </w:rPr>
      </w:pPr>
    </w:p>
    <w:p>
      <w:pPr>
        <w:ind w:left="200" w:right="160" w:firstLine="992"/>
        <w:spacing w:after="0" w:line="277" w:lineRule="auto"/>
        <w:rPr>
          <w:sz w:val="20"/>
          <w:szCs w:val="20"/>
          <w:color w:val="auto"/>
        </w:rPr>
      </w:pPr>
      <w:r>
        <w:rPr>
          <w:rFonts w:ascii="Arial" w:cs="Arial" w:eastAsia="Arial" w:hAnsi="Arial"/>
          <w:sz w:val="18"/>
          <w:szCs w:val="18"/>
          <w:color w:val="auto"/>
        </w:rPr>
        <w:t>You should carefully read both this prospectus and any prospectus supplement, together with additional information described under the heading “Where You Can Find More Information” and “Incorporation By Reference.”</w:t>
      </w:r>
    </w:p>
    <w:p>
      <w:pPr>
        <w:spacing w:after="0" w:line="170" w:lineRule="exact"/>
        <w:rPr>
          <w:sz w:val="20"/>
          <w:szCs w:val="20"/>
          <w:color w:val="auto"/>
        </w:rPr>
      </w:pPr>
    </w:p>
    <w:p>
      <w:pPr>
        <w:ind w:left="200" w:right="160" w:firstLine="992"/>
        <w:spacing w:after="0" w:line="308" w:lineRule="auto"/>
        <w:rPr>
          <w:sz w:val="20"/>
          <w:szCs w:val="20"/>
          <w:color w:val="auto"/>
        </w:rPr>
      </w:pPr>
      <w:r>
        <w:rPr>
          <w:rFonts w:ascii="Arial" w:cs="Arial" w:eastAsia="Arial" w:hAnsi="Arial"/>
          <w:sz w:val="17"/>
          <w:szCs w:val="17"/>
          <w:color w:val="auto"/>
        </w:rPr>
        <w:t>In this prospectus, unless the context indicates otherwise, the words and terms “Southwest Gas Holdings,” “the Company,” “we,” “our,” “ours” and “us” refer to Southwest Gas Holdings, Inc. and its consolidated subsidiaries, including Southwest Gas Corporation.</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ind w:left="200" w:right="40" w:firstLine="992"/>
        <w:spacing w:after="0" w:line="285" w:lineRule="auto"/>
        <w:rPr>
          <w:sz w:val="20"/>
          <w:szCs w:val="20"/>
          <w:color w:val="auto"/>
        </w:rPr>
      </w:pPr>
      <w:r>
        <w:rPr>
          <w:rFonts w:ascii="Arial" w:cs="Arial" w:eastAsia="Arial" w:hAnsi="Arial"/>
          <w:sz w:val="16"/>
          <w:szCs w:val="16"/>
          <w:color w:val="auto"/>
        </w:rPr>
        <w:t>This prospectus and the documents we incorporate by reference herein and therein contain forward-looking statements within the meaning of Section 27A of the Securities Act and Section 21E of the Securities Exchange Act of 1934, as amended (the “Exchange Act”). All statements other than statements of historical fact included or incorporated by reference in this prospectus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“promote,” “seek,” and similar words and expressions are generally used and intended to identify forward-looking statements. For example, statements regarding operating margin patterns, customer growth, the composition of our customer base, price volatility, seasonal patterns, payment of debt, interest savings, replacement market and new construction market, bonus depreciation tax deductions and future changes not yet enacted, amount and timing for completion of estimated future construction expenditures, including the cost of any new facilities and the cost of any expansion plans, forecasted operating cash flows and results of operations, net earnings impacts from gas infrastructure replacement surcharges, funding sources of cash requirements, amounts generally expected to be reflected in current or future period revenues from regulatory rate proceedings, approval of our general rate case settlements and effective dates of new general rates, post-test year rate adjustments and the extension requests, ARA rates and other surcharges, Nevada Conservation and Energy Efficiency programs, purchased gas adjustment clauses, and other rate adjustments, sufficiency of working capital and current credit facilities, bank lending practices, the Company’s views regarding its liquidity position, ability to raise funds and receive external financing capacity, future dividend increases and the board’s current target dividend payout ratio, earnings trends, pension and post-retirement benefits, certain benefits of tax acts, the effect of any rate changes or regulatory proceedings, contract or construction change order negotiations, impacts of accounting standard updates, effective dates of pipeline regulations, infrastructure replacement mechanisms and Customer-Owned Yard Line programs, statements regarding future gas prices, gas purchase contracts and derivative financial instruments, recoverability of regulatory assets, the impact of certain legal proceedings, and the timing and results of future rate hearings and approvals are forward-looking statements.</w:t>
      </w:r>
    </w:p>
    <w:p>
      <w:pPr>
        <w:spacing w:after="0" w:line="387" w:lineRule="exact"/>
        <w:rPr>
          <w:sz w:val="20"/>
          <w:szCs w:val="20"/>
          <w:color w:val="auto"/>
        </w:rPr>
      </w:pPr>
    </w:p>
    <w:p>
      <w:pPr>
        <w:ind w:left="200" w:firstLine="992"/>
        <w:spacing w:after="0" w:line="285" w:lineRule="auto"/>
        <w:rPr>
          <w:sz w:val="20"/>
          <w:szCs w:val="20"/>
          <w:color w:val="auto"/>
        </w:rPr>
      </w:pPr>
      <w:r>
        <w:rPr>
          <w:rFonts w:ascii="Arial" w:cs="Arial" w:eastAsia="Arial" w:hAnsi="Arial"/>
          <w:sz w:val="16"/>
          <w:szCs w:val="16"/>
          <w:color w:val="auto"/>
        </w:rPr>
        <w:t>A number of important factors affecting the business and financial results could cause actual results to differ materially from those stated in the forward-looking statements. These factors include, but are not limited to, customer growth rates, conditions in the housing market, the ability to recover costs through the PGA mechanisms or other regulatory assets, the effects of regulation/deregulation, the timing and amount of rate relief, changes in rate design, variability in volume of gas or transportation service sold to customers, changes in gas procurement practices, changes in capital requirements and funding, the impact of conditions in the capital markets on financing costs, changes in construction expenditures and financing, changes in operations and maintenance expenses, effects of pension expense forecasts, accounting changes and regulatory treatment related thereto, future liability claims, changes in pipeline capacity for the transportation of gas and related costs, results of Centuri Construction Group, Inc.’s (“Centuri”) bid work, Centuri construction expenses, differences between actual and originally expected outcomes of Centuri bid or other fixed-price construction agreements, outcomes from contract and change order negotiations, and ability to successfully procure new work, impacts from work awarded or failing to be awarded from significant customers, the mix of work awarded, the amount of work awarded to Centuri following the lifting of the recent work stoppage, acquisitions and management’s plans related thereto, competition, our ability to raise capital in external financings, our ability to continue to remain within the ratios and other limits subject to our debt covenants, and ongoing evaluations in regard to goodwill and other intangible assets. In addition, management can provide no assurance that its discussions regarding certain trends relating to its financing and operating expenses will continue in future periods. Additional factors that could cause actual results to differ and that you should consider prior to investing in our securities are discussed under the heading “Risk Factors” and in other sections of this prospectus and our current and periodic reports, and other filings, filed from time to time with the SEC that are incorporated by reference into this prospectus. See “Incorporation by Reference” and “Where You Can Find More Information” below and for information about how to obtain copies of those documents. All forward-looking statements in this prospectus</w:t>
      </w:r>
    </w:p>
    <w:p>
      <w:pPr>
        <w:spacing w:after="0" w:line="10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59" w:lineRule="auto"/>
        <w:rPr>
          <w:sz w:val="20"/>
          <w:szCs w:val="20"/>
          <w:color w:val="auto"/>
        </w:rPr>
      </w:pPr>
      <w:r>
        <w:rPr>
          <w:rFonts w:ascii="Arial" w:cs="Arial" w:eastAsia="Arial" w:hAnsi="Arial"/>
          <w:sz w:val="18"/>
          <w:szCs w:val="18"/>
          <w:color w:val="auto"/>
        </w:rPr>
        <w:t>and the documents incorporated by reference herein are made only as of the date of the document in which they are contained, based on information available to us as of the date of that document, and we caution you not to place undue reliance on forward-looking statements in light of the risks and uncertainties associated with them. We assume no obligation to update any forward-looking statements, whether as a result of new information, future events or otherwise.</w:t>
      </w:r>
    </w:p>
    <w:p>
      <w:pPr>
        <w:spacing w:after="0" w:line="11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200" w:firstLine="992"/>
        <w:spacing w:after="0" w:line="288" w:lineRule="auto"/>
        <w:rPr>
          <w:sz w:val="20"/>
          <w:szCs w:val="20"/>
          <w:color w:val="auto"/>
        </w:rPr>
      </w:pPr>
      <w:r>
        <w:rPr>
          <w:rFonts w:ascii="Arial" w:cs="Arial" w:eastAsia="Arial" w:hAnsi="Arial"/>
          <w:sz w:val="16"/>
          <w:szCs w:val="16"/>
          <w:color w:val="auto"/>
        </w:rPr>
        <w:t>In 2015, the Board of Directors of Southwest Gas Corporation (“Predecessor”) authorized management to evaluate and pursue a holding company reorganization to provide further separation between regulated and unregulated businesses, and to provide additional financing flexibility. As part of the holding company reorganization, Centuri and Predecessor would each be subsidiaries of the new publicly traded parent holding company, Southwest Gas Holdings, Inc.; whereas, historically, Centuri had been a direct subsidiary of Predecessor. All of Predecessor’s outstanding debt securities (not associated with Centuri) at the time of the reorganization would remain at Predecessor. Regulatory applications for preapproval of the reorganization were filed with the Arizona Corporation Commission (“ACC”), the California Public Utilities Commission (“CPUC”), and the Public Utilities Commission of Nevada (“PUCN”) in October 2015. Approvals were received from the CPUC, the PUCN, and the ACC in January, March, and May, respectively, of 2016. The reorganization, which was approved by the Board of Directors of Predecessor and Southwest Gas Holdings in December 2016, became effective in January 2017. Each outstanding share of Predecessor’s common stock automatically converted into a share of common stock in Southwest Gas Holdings, on a one-for-one basis, and the ticker symbol of the stock, “SWX,” remains unchanged.</w:t>
      </w:r>
    </w:p>
    <w:p>
      <w:pPr>
        <w:spacing w:after="0" w:line="169" w:lineRule="exact"/>
        <w:rPr>
          <w:sz w:val="20"/>
          <w:szCs w:val="20"/>
          <w:color w:val="auto"/>
        </w:rPr>
      </w:pPr>
    </w:p>
    <w:p>
      <w:pPr>
        <w:ind w:left="200" w:right="260" w:firstLine="992"/>
        <w:spacing w:after="0" w:line="264" w:lineRule="auto"/>
        <w:rPr>
          <w:sz w:val="20"/>
          <w:szCs w:val="20"/>
          <w:color w:val="auto"/>
        </w:rPr>
      </w:pPr>
      <w:r>
        <w:rPr>
          <w:rFonts w:ascii="Arial" w:cs="Arial" w:eastAsia="Arial" w:hAnsi="Arial"/>
          <w:sz w:val="18"/>
          <w:szCs w:val="18"/>
          <w:color w:val="auto"/>
        </w:rPr>
        <w:t>Predecessor was incorporated in March 1931 and Southwest Gas Holdings was incorporated in September 2016, each under the laws of the State of California. Southwest Gas Holdings is composed of two business segments: natural gas operations (“Southwest” or the “natural gas operations” segment) and construction services.</w:t>
      </w:r>
    </w:p>
    <w:p>
      <w:pPr>
        <w:spacing w:after="0" w:line="181" w:lineRule="exact"/>
        <w:rPr>
          <w:sz w:val="20"/>
          <w:szCs w:val="20"/>
          <w:color w:val="auto"/>
        </w:rPr>
      </w:pPr>
    </w:p>
    <w:p>
      <w:pPr>
        <w:ind w:left="200" w:right="20" w:firstLine="992"/>
        <w:spacing w:after="0" w:line="276"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Southwest is the largest distributor of natural gas in Arizona, selling and transporting natural gas in most of central and southern Arizona, including the Phoenix and Tucson metropolitan areas. Southwest is also the largest distributor of natural gas in Nevada, serving the Las Vegas metropolitan area and northern Nevada. In addition, Southwest distributes and transports natural gas for customers in portions of California, including the Lake Tahoe area and the high desert and mountain areas in San Bernardino County.</w:t>
      </w:r>
    </w:p>
    <w:p>
      <w:pPr>
        <w:spacing w:after="0" w:line="173" w:lineRule="exact"/>
        <w:rPr>
          <w:sz w:val="20"/>
          <w:szCs w:val="20"/>
          <w:color w:val="auto"/>
        </w:rPr>
      </w:pPr>
    </w:p>
    <w:p>
      <w:pPr>
        <w:ind w:left="200" w:right="140" w:firstLine="992"/>
        <w:spacing w:after="0" w:line="297" w:lineRule="auto"/>
        <w:rPr>
          <w:sz w:val="20"/>
          <w:szCs w:val="20"/>
          <w:color w:val="auto"/>
        </w:rPr>
      </w:pPr>
      <w:r>
        <w:rPr>
          <w:rFonts w:ascii="Arial" w:cs="Arial" w:eastAsia="Arial" w:hAnsi="Arial"/>
          <w:sz w:val="16"/>
          <w:szCs w:val="16"/>
          <w:color w:val="auto"/>
        </w:rPr>
        <w:t>Centuri (the “construction services” segment) is a comprehensive construction services enterprise dedicated to meeting the growing demands of North American utilities, energy and industrial markets. Centuri derives revenue from installation, replacement, repair, and maintenance of energy distribution systems, and developing industrial construction solutions. Centuri operates in 24 major markets in the United States (primarily as NPL) and in 3 major markets in Canada (as NPL Canada (formerly Link-Line Contractors Ltd.), and W.S. Nicholls). In November 2017, Centuri expanded its operations in the Northeastern geographical area of the United States through the acquisition of a private construction services business.</w:t>
      </w:r>
    </w:p>
    <w:p>
      <w:pPr>
        <w:spacing w:after="0" w:line="158" w:lineRule="exact"/>
        <w:rPr>
          <w:sz w:val="20"/>
          <w:szCs w:val="20"/>
          <w:color w:val="auto"/>
        </w:rPr>
      </w:pPr>
    </w:p>
    <w:p>
      <w:pPr>
        <w:ind w:left="200" w:right="360" w:firstLine="992"/>
        <w:spacing w:after="0" w:line="302" w:lineRule="auto"/>
        <w:rPr>
          <w:sz w:val="20"/>
          <w:szCs w:val="20"/>
          <w:color w:val="auto"/>
        </w:rPr>
      </w:pPr>
      <w:r>
        <w:rPr>
          <w:rFonts w:ascii="Arial" w:cs="Arial" w:eastAsia="Arial" w:hAnsi="Arial"/>
          <w:sz w:val="16"/>
          <w:szCs w:val="16"/>
          <w:color w:val="auto"/>
        </w:rPr>
        <w:t>Southwest is subject to regulation by the ACC, the PUCN, and the CPUC. These commissions regulate public utility rates, practices, facilities, and service territories in their respective states. The CPUC also regulates the issuance of all securities by Southwest, with the exception of short-term borrowings. Certain accounting practices, transmission facilities, and rates are subject to regulation by the Federal Energy Regulatory Commission (“FERC”). Centuri is not regulated by the state utilities commissions or by the FERC in any of its operating areas.</w:t>
      </w:r>
    </w:p>
    <w:p>
      <w:pPr>
        <w:spacing w:after="0" w:line="154"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Our administrative offices are located at 5241 Spring Mountain Road, Las Vegas, Nevada 89150-0002, telephone number (702) 876-7237.</w:t>
      </w:r>
    </w:p>
    <w:p>
      <w:pPr>
        <w:spacing w:after="0" w:line="18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40"/>
        <w:spacing w:after="0" w:line="257" w:lineRule="auto"/>
        <w:rPr>
          <w:sz w:val="20"/>
          <w:szCs w:val="20"/>
          <w:color w:val="auto"/>
        </w:rPr>
      </w:pPr>
      <w:r>
        <w:rPr>
          <w:rFonts w:ascii="Arial" w:cs="Arial" w:eastAsia="Arial" w:hAnsi="Arial"/>
          <w:sz w:val="18"/>
          <w:szCs w:val="18"/>
          <w:color w:val="auto"/>
        </w:rPr>
        <w:t>Our business is subject to certain risks and uncertainties. You should carefully consider and evaluate all of the information included and incorporated by reference in this prospectus and any applicable prospectus supplement, including the risk factors incorporated by reference to our Annual Report on Form 10-K for the year ended December 31, 2016, as well as any risk factors we may describe in any subsequent periodic reports or information we file with the SEC. It is possible that our business, financial condition, liquidity or results of operations could be materially adversely affected by any of these risks.</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20" w:firstLine="992"/>
        <w:spacing w:after="0" w:line="312" w:lineRule="auto"/>
        <w:rPr>
          <w:sz w:val="20"/>
          <w:szCs w:val="20"/>
          <w:color w:val="auto"/>
        </w:rPr>
      </w:pPr>
      <w:r>
        <w:rPr>
          <w:rFonts w:ascii="Arial" w:cs="Arial" w:eastAsia="Arial" w:hAnsi="Arial"/>
          <w:sz w:val="16"/>
          <w:szCs w:val="16"/>
          <w:color w:val="auto"/>
        </w:rPr>
        <w:t>Unless otherwise indicated in the applicable prospectus supplement or other offering material, we intend to use the net proceeds from the sale of securities for general corporate purposes, which may include the following: refunding, repurchasing, retiring upon maturity or redeeming existing debt; funding for working capital; capital expenditures; repurchases of our capital stock; and strategic investments and acquisitions.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RATIO OF EARNINGS TO FIXED CHARGES</w:t>
      </w:r>
    </w:p>
    <w:p>
      <w:pPr>
        <w:spacing w:after="0" w:line="229" w:lineRule="exact"/>
        <w:rPr>
          <w:sz w:val="20"/>
          <w:szCs w:val="20"/>
          <w:color w:val="auto"/>
        </w:rPr>
      </w:pPr>
    </w:p>
    <w:p>
      <w:pPr>
        <w:ind w:left="200" w:right="260" w:firstLine="992"/>
        <w:spacing w:after="0" w:line="264" w:lineRule="auto"/>
        <w:rPr>
          <w:sz w:val="20"/>
          <w:szCs w:val="20"/>
          <w:color w:val="auto"/>
        </w:rPr>
      </w:pPr>
      <w:r>
        <w:rPr>
          <w:rFonts w:ascii="Arial" w:cs="Arial" w:eastAsia="Arial" w:hAnsi="Arial"/>
          <w:sz w:val="18"/>
          <w:szCs w:val="18"/>
          <w:color w:val="auto"/>
        </w:rPr>
        <w:t>The following table sets forth our historical ratios of earnings available for fixed charges to fixed charges for the periods indicated. This information should be read in conjunction with the consolidated financial statements and the accompanying notes incorporated by reference in this prospectus.</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Twelve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Months</w:t>
            </w:r>
          </w:p>
        </w:tc>
        <w:tc>
          <w:tcPr>
            <w:tcW w:w="340" w:type="dxa"/>
            <w:vAlign w:val="bottom"/>
          </w:tcPr>
          <w:p>
            <w:pPr>
              <w:spacing w:after="0"/>
              <w:rPr>
                <w:sz w:val="12"/>
                <w:szCs w:val="12"/>
                <w:color w:val="auto"/>
              </w:rPr>
            </w:pPr>
          </w:p>
        </w:tc>
        <w:tc>
          <w:tcPr>
            <w:tcW w:w="1920" w:type="dxa"/>
            <w:vAlign w:val="bottom"/>
            <w:gridSpan w:val="7"/>
            <w:vMerge w:val="restart"/>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c>
          <w:tcPr>
            <w:tcW w:w="340" w:type="dxa"/>
            <w:vAlign w:val="bottom"/>
          </w:tcPr>
          <w:p>
            <w:pPr>
              <w:spacing w:after="0"/>
              <w:rPr>
                <w:sz w:val="14"/>
                <w:szCs w:val="14"/>
                <w:color w:val="auto"/>
              </w:rPr>
            </w:pPr>
          </w:p>
        </w:tc>
        <w:tc>
          <w:tcPr>
            <w:tcW w:w="1920" w:type="dxa"/>
            <w:vAlign w:val="bottom"/>
            <w:gridSpan w:val="7"/>
            <w:vMerge w:val="continue"/>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September 30,</w:t>
            </w:r>
          </w:p>
        </w:tc>
        <w:tc>
          <w:tcPr>
            <w:tcW w:w="220" w:type="dxa"/>
            <w:vAlign w:val="bottom"/>
          </w:tcPr>
          <w:p>
            <w:pPr>
              <w:spacing w:after="0"/>
              <w:rPr>
                <w:sz w:val="10"/>
                <w:szCs w:val="10"/>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2016</w:t>
            </w:r>
          </w:p>
        </w:tc>
        <w:tc>
          <w:tcPr>
            <w:tcW w:w="56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2014</w:t>
            </w:r>
          </w:p>
        </w:tc>
        <w:tc>
          <w:tcPr>
            <w:tcW w:w="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9"/>
              </w:rPr>
              <w:t>2013</w:t>
            </w:r>
          </w:p>
        </w:tc>
        <w:tc>
          <w:tcPr>
            <w:tcW w:w="2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920" w:type="dxa"/>
            <w:vAlign w:val="bottom"/>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charges(1)</w:t>
            </w:r>
          </w:p>
        </w:tc>
        <w:tc>
          <w:tcPr>
            <w:tcW w:w="920" w:type="dxa"/>
            <w:vAlign w:val="bottom"/>
            <w:tcBorders>
              <w:top w:val="single" w:sz="8" w:color="auto"/>
            </w:tcBorders>
            <w:shd w:val="clear" w:color="auto" w:fill="CCEEFF"/>
          </w:tcPr>
          <w:p>
            <w:pPr>
              <w:jc w:val="right"/>
              <w:ind w:right="226"/>
              <w:spacing w:after="0"/>
              <w:rPr>
                <w:sz w:val="20"/>
                <w:szCs w:val="20"/>
                <w:color w:val="auto"/>
              </w:rPr>
            </w:pPr>
            <w:r>
              <w:rPr>
                <w:rFonts w:ascii="Arial" w:cs="Arial" w:eastAsia="Arial" w:hAnsi="Arial"/>
                <w:sz w:val="18"/>
                <w:szCs w:val="18"/>
                <w:color w:val="auto"/>
              </w:rPr>
              <w:t>3.50</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3.46</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3.43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3.58</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3.61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7632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312" w:lineRule="auto"/>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purposes of calculating the ratio of earnings to fixed charges, earnings represents earnings before income tax expense, and net income attributable to noncontrolling interests, plus fixed charges; and fixed charges include: (a) interest expense; (b) amortization of capitalized expenses related to debt; and (c) the portion of rental expense which management believes is representative of the interest component of rent expense.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240" w:top="459" w:right="4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CAPITAL STOCK</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The authorized capital stock of Southwest Gas Holdings consists of (1) 60,000,000 shares of Southwest Gas Holdings common stock, with a $1.00 par value, (2) 5,000,000 shares of preferred stock, without par value, and (3) 2,000,000 shares of preference stock, with a $20.00 par value. As of December 12, 2017, there were issued and outstanding 48,090,470 shares of Southwest Gas Holdings common stock and no shares of Southwest Gas Holdings preferred stock or preference stock. No other classes of capital stock are authorized under our articles of incorporation.</w:t>
      </w:r>
    </w:p>
    <w:p>
      <w:pPr>
        <w:spacing w:after="0" w:line="154" w:lineRule="exact"/>
        <w:rPr>
          <w:sz w:val="20"/>
          <w:szCs w:val="20"/>
          <w:color w:val="auto"/>
        </w:rPr>
      </w:pPr>
    </w:p>
    <w:p>
      <w:pPr>
        <w:ind w:left="200" w:right="180" w:firstLine="992"/>
        <w:spacing w:after="0" w:line="286" w:lineRule="auto"/>
        <w:rPr>
          <w:sz w:val="20"/>
          <w:szCs w:val="20"/>
          <w:color w:val="auto"/>
        </w:rPr>
      </w:pPr>
      <w:r>
        <w:rPr>
          <w:rFonts w:ascii="Arial" w:cs="Arial" w:eastAsia="Arial" w:hAnsi="Arial"/>
          <w:sz w:val="17"/>
          <w:szCs w:val="17"/>
          <w:color w:val="auto"/>
        </w:rPr>
        <w:t>The following description of Southwest Gas Holdings’ capital stock is only a summary and is qualified in its entirety by reference to our articles of incorporation and bylaws. Therefore, you should read carefully the more detailed provisions of our articles of incorporation and bylaws, copies of which are incorporated by reference as exhibits to the registration statement of which this prospectus is a part.</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have one class of common stock. All holders of our common stock are entitled to the same rights and privileges, as described below.</w:t>
      </w:r>
    </w:p>
    <w:p>
      <w:pPr>
        <w:spacing w:after="0" w:line="248" w:lineRule="exact"/>
        <w:rPr>
          <w:sz w:val="20"/>
          <w:szCs w:val="20"/>
          <w:color w:val="auto"/>
        </w:rPr>
      </w:pPr>
    </w:p>
    <w:p>
      <w:pPr>
        <w:ind w:left="200" w:right="680" w:firstLine="992"/>
        <w:spacing w:after="0" w:line="277"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Except as otherwise provided by law, each holder of common stock is entitled to one vote per share on each matter</w:t>
      </w:r>
      <w:r>
        <w:rPr>
          <w:rFonts w:ascii="Arial" w:cs="Arial" w:eastAsia="Arial" w:hAnsi="Arial"/>
          <w:sz w:val="18"/>
          <w:szCs w:val="18"/>
          <w:i w:val="1"/>
          <w:iCs w:val="1"/>
          <w:color w:val="auto"/>
        </w:rPr>
        <w:t xml:space="preserve"> </w:t>
      </w:r>
      <w:r>
        <w:rPr>
          <w:rFonts w:ascii="Arial" w:cs="Arial" w:eastAsia="Arial" w:hAnsi="Arial"/>
          <w:sz w:val="18"/>
          <w:szCs w:val="18"/>
          <w:color w:val="auto"/>
        </w:rPr>
        <w:t>submitted to a vote of a meeting of shareholders, including the election of directors.</w:t>
      </w:r>
    </w:p>
    <w:p>
      <w:pPr>
        <w:spacing w:after="0" w:line="170" w:lineRule="exact"/>
        <w:rPr>
          <w:sz w:val="20"/>
          <w:szCs w:val="20"/>
          <w:color w:val="auto"/>
        </w:rPr>
      </w:pPr>
    </w:p>
    <w:p>
      <w:pPr>
        <w:ind w:left="200" w:right="200" w:firstLine="992"/>
        <w:spacing w:after="0" w:line="34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Southwest Gas Holdings common stock are entitled to receive such dividends as the Southwest Gas Holdings</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may from time to time declare, subject to any rights of holders of outstanding shares of Southwest Gas Holdings preferred stock.</w:t>
      </w:r>
    </w:p>
    <w:p>
      <w:pPr>
        <w:spacing w:after="0" w:line="124" w:lineRule="exact"/>
        <w:rPr>
          <w:sz w:val="20"/>
          <w:szCs w:val="20"/>
          <w:color w:val="auto"/>
        </w:rPr>
      </w:pPr>
    </w:p>
    <w:p>
      <w:pPr>
        <w:ind w:left="200" w:right="180" w:firstLine="992"/>
        <w:spacing w:after="0" w:line="286"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In the event of any liquidation, dissolution or winding up of Southwest Gas Holdings, whether voluntary or involuntary, the</w:t>
      </w:r>
      <w:r>
        <w:rPr>
          <w:rFonts w:ascii="Arial" w:cs="Arial" w:eastAsia="Arial" w:hAnsi="Arial"/>
          <w:sz w:val="17"/>
          <w:szCs w:val="17"/>
          <w:i w:val="1"/>
          <w:iCs w:val="1"/>
          <w:color w:val="auto"/>
        </w:rPr>
        <w:t xml:space="preserve"> </w:t>
      </w:r>
      <w:r>
        <w:rPr>
          <w:rFonts w:ascii="Arial" w:cs="Arial" w:eastAsia="Arial" w:hAnsi="Arial"/>
          <w:sz w:val="17"/>
          <w:szCs w:val="17"/>
          <w:color w:val="auto"/>
        </w:rPr>
        <w:t>holders of shares of Southwest Gas Holdings common stock, subject to any rights of the holders of outstanding shares of Southwest Gas Holdings preferred stock, are entitled to receive any remaining assets of Southwest Gas Holdings after the discharge of its liabilities.</w:t>
      </w:r>
    </w:p>
    <w:p>
      <w:pPr>
        <w:spacing w:after="0" w:line="166"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i w:val="1"/>
          <w:iCs w:val="1"/>
          <w:color w:val="auto"/>
        </w:rPr>
        <w:t>Rights and Preferences</w:t>
      </w:r>
      <w:r>
        <w:rPr>
          <w:rFonts w:ascii="Arial" w:cs="Arial" w:eastAsia="Arial" w:hAnsi="Arial"/>
          <w:sz w:val="18"/>
          <w:szCs w:val="18"/>
          <w:color w:val="auto"/>
        </w:rPr>
        <w:t>. Holders of Southwest Gas Holdings common stock are not entitled to preemptive rights to subscribe for, or</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any part of, any new or additional issue of stock or securities convertible into stock. Southwest Gas Holdings common stock does not contain any redemption provisions or conversion rights and is not liable to assessment or further call.</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20" w:firstLine="992"/>
        <w:spacing w:after="0" w:line="264" w:lineRule="auto"/>
        <w:rPr>
          <w:sz w:val="20"/>
          <w:szCs w:val="20"/>
          <w:color w:val="auto"/>
        </w:rPr>
      </w:pPr>
      <w:r>
        <w:rPr>
          <w:rFonts w:ascii="Arial" w:cs="Arial" w:eastAsia="Arial" w:hAnsi="Arial"/>
          <w:sz w:val="18"/>
          <w:szCs w:val="18"/>
          <w:color w:val="auto"/>
        </w:rPr>
        <w:t>Our articles of incorporation authorize our board of directors, without further action by the stockholders, to issue up to 5,000,000 shares of preferred stock, without par value, in one or more series and to fix the rights, preferences, privileges and restrictions granted to, or imposed upon, any such wholly unissued series.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Certain Anti-Takeover Matters</w:t>
      </w:r>
    </w:p>
    <w:p>
      <w:pPr>
        <w:spacing w:after="0" w:line="121" w:lineRule="exact"/>
        <w:rPr>
          <w:sz w:val="20"/>
          <w:szCs w:val="20"/>
          <w:color w:val="auto"/>
        </w:rPr>
      </w:pPr>
    </w:p>
    <w:p>
      <w:pPr>
        <w:jc w:val="both"/>
        <w:ind w:left="200" w:right="140" w:firstLine="992"/>
        <w:spacing w:after="0" w:line="264" w:lineRule="auto"/>
        <w:rPr>
          <w:sz w:val="20"/>
          <w:szCs w:val="20"/>
          <w:color w:val="auto"/>
        </w:rPr>
      </w:pPr>
      <w:r>
        <w:rPr>
          <w:rFonts w:ascii="Arial" w:cs="Arial" w:eastAsia="Arial" w:hAnsi="Arial"/>
          <w:sz w:val="18"/>
          <w:szCs w:val="18"/>
          <w:color w:val="auto"/>
        </w:rPr>
        <w:t>Our articles of incorporation and bylaws contain provisions that may have the effect of discouraging persons from acquiring large blocks of Southwest Gas Holdings’ stock or delaying or preventing a change in control of Southwest Gas Holdings. The material provisions which may have such an effect are:</w:t>
      </w:r>
    </w:p>
    <w:p>
      <w:pPr>
        <w:spacing w:after="0" w:line="87" w:lineRule="exact"/>
        <w:rPr>
          <w:sz w:val="20"/>
          <w:szCs w:val="20"/>
          <w:color w:val="auto"/>
        </w:rPr>
      </w:pPr>
    </w:p>
    <w:p>
      <w:pPr>
        <w:ind w:left="1620" w:right="840" w:hanging="322"/>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provisions requiring a super-majority vote by shareholders of common stock in order to approve certain types of business combinations;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322"/>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provision permitting the Southwest Gas Holdings board of directors to make, amend or repeal the bylaws;</w:t>
      </w:r>
    </w:p>
    <w:p>
      <w:pPr>
        <w:spacing w:after="0" w:line="130" w:lineRule="exact"/>
        <w:rPr>
          <w:rFonts w:ascii="Arial" w:cs="Arial" w:eastAsia="Arial" w:hAnsi="Arial"/>
          <w:sz w:val="18"/>
          <w:szCs w:val="18"/>
          <w:color w:val="auto"/>
        </w:rPr>
      </w:pPr>
    </w:p>
    <w:p>
      <w:pPr>
        <w:jc w:val="both"/>
        <w:ind w:left="1620" w:right="40" w:hanging="322"/>
        <w:spacing w:after="0" w:line="264"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authorization for the Southwest Gas Holdings board of directors to issue preferred stock in series and to fix rights and preferences of the series (including, among other things, whether, and to what extent, the shares of any series will have voting rights and the extent of the preferences of the shares of any series with respect to dividends and other matters);</w:t>
      </w:r>
    </w:p>
    <w:p>
      <w:pPr>
        <w:spacing w:after="0" w:line="86" w:lineRule="exact"/>
        <w:rPr>
          <w:rFonts w:ascii="Arial" w:cs="Arial" w:eastAsia="Arial" w:hAnsi="Arial"/>
          <w:sz w:val="18"/>
          <w:szCs w:val="18"/>
          <w:color w:val="auto"/>
        </w:rPr>
      </w:pPr>
    </w:p>
    <w:p>
      <w:pPr>
        <w:ind w:left="1620" w:hanging="322"/>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with respect to proposals other than those adopted or recommended by the Southwest Gas Holdings board of directors; and</w:t>
      </w:r>
    </w:p>
    <w:p>
      <w:pPr>
        <w:spacing w:after="0" w:line="75" w:lineRule="exact"/>
        <w:rPr>
          <w:rFonts w:ascii="Arial" w:cs="Arial" w:eastAsia="Arial" w:hAnsi="Arial"/>
          <w:sz w:val="18"/>
          <w:szCs w:val="18"/>
          <w:color w:val="auto"/>
        </w:rPr>
      </w:pPr>
    </w:p>
    <w:p>
      <w:pPr>
        <w:ind w:left="1620" w:right="240" w:hanging="322"/>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provisions permitting amendment of certain of these provisions only by an affirmative vote of the holders of at least 65 percent of the outstanding shares of Southwest Gas Holdings common stock entitled to vote.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Wells Fargo Shareowner Services is the registrar and transfer agent for our common stock.</w:t>
      </w:r>
    </w:p>
    <w:p>
      <w:pPr>
        <w:spacing w:after="0" w:line="32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Our common stock is listed on the New York Stock Exchange under the symbol “SWX.”</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ind w:left="200" w:right="60" w:firstLine="992"/>
        <w:spacing w:after="0" w:line="286" w:lineRule="auto"/>
        <w:rPr>
          <w:sz w:val="20"/>
          <w:szCs w:val="20"/>
          <w:color w:val="auto"/>
        </w:rPr>
      </w:pPr>
      <w:r>
        <w:rPr>
          <w:rFonts w:ascii="Arial" w:cs="Arial" w:eastAsia="Arial" w:hAnsi="Arial"/>
          <w:sz w:val="17"/>
          <w:szCs w:val="17"/>
          <w:color w:val="auto"/>
        </w:rPr>
        <w:t>The following text describes the general terms and provisions of debt securities that Southwest Gas Holdings, Inc. and/or Southwest Gas Corporation may offer from time to time. For purposes of this “Description of Debt Securities,” “we,” “us” and “our” refer to the relevant issuer of debt securities, Southwest Gas Holdings, Inc. or Southwest Gas Corporation, as the case may be, and not to their respective subsidiaries.</w:t>
      </w:r>
    </w:p>
    <w:p>
      <w:pPr>
        <w:spacing w:after="0" w:line="166" w:lineRule="exact"/>
        <w:rPr>
          <w:sz w:val="20"/>
          <w:szCs w:val="20"/>
          <w:color w:val="auto"/>
        </w:rPr>
      </w:pPr>
    </w:p>
    <w:p>
      <w:pPr>
        <w:ind w:left="200" w:right="40" w:firstLine="992"/>
        <w:spacing w:after="0" w:line="279" w:lineRule="auto"/>
        <w:rPr>
          <w:sz w:val="20"/>
          <w:szCs w:val="20"/>
          <w:color w:val="auto"/>
        </w:rPr>
      </w:pPr>
      <w:r>
        <w:rPr>
          <w:rFonts w:ascii="Arial" w:cs="Arial" w:eastAsia="Arial" w:hAnsi="Arial"/>
          <w:sz w:val="17"/>
          <w:szCs w:val="17"/>
          <w:color w:val="auto"/>
        </w:rPr>
        <w:t>When we offer to sell a particular series of debt securities, we will describe the specific terms of the series in a prospectus supplement. We will also indicate in any applicable prospectus supplement whether the general terms and provisions described in this prospectus apply to a particular series of debt securities. Unless otherwise specified in any applicable prospectus supplement, the senior debt securities will be our direct, unsecured obligations and will rank equally with all of our other unsecured and unsubordinated indebtedness.</w:t>
      </w:r>
    </w:p>
    <w:p>
      <w:pPr>
        <w:spacing w:after="0" w:line="171" w:lineRule="exact"/>
        <w:rPr>
          <w:sz w:val="20"/>
          <w:szCs w:val="20"/>
          <w:color w:val="auto"/>
        </w:rPr>
      </w:pPr>
    </w:p>
    <w:p>
      <w:pPr>
        <w:ind w:left="200" w:right="20" w:firstLine="992"/>
        <w:spacing w:after="0" w:line="289" w:lineRule="auto"/>
        <w:rPr>
          <w:sz w:val="20"/>
          <w:szCs w:val="20"/>
          <w:color w:val="auto"/>
        </w:rPr>
      </w:pPr>
      <w:r>
        <w:rPr>
          <w:rFonts w:ascii="Arial" w:cs="Arial" w:eastAsia="Arial" w:hAnsi="Arial"/>
          <w:sz w:val="16"/>
          <w:szCs w:val="16"/>
          <w:color w:val="auto"/>
        </w:rPr>
        <w:t>The debt securities of Southwest Gas Holdings, Inc. will be issued under one or more indentures between Southwest Gas Holdings, Inc. and The Bank of New York Mellon Trust Company, N.A., as Trustee (the “Holdings Indenture”). The debt securities of Southwest Gas Corporation will be issued under one or more indentures between Southwest Gas Corporation and The Bank of New York Mellon Trust Company, N.A., as Trustee (the “Corporation Indenture” and, together with the Holdings Indenture, the “Indentures”). Each Indenture describes the terms of the debt securities and does not limit the amount of debt securities or other unsecured, senior debt we may issue. We have summarized the general terms and provisions of the debt securities to be governed by each Indenture. The summary is not complete and is subject to, and qualified in its entirety by reference to, all provisions of the indenture and the Trust Indenture Act of 1939, as amended (the “Trust Indenture Act”). A form of each Indenture has been filed as an exhibit to the registration statement that we have filed with the SEC, of which this prospectus forms a part. We encourage you to read the Indentures. Capitalized terms used in this description of our debt securities have the meanings ascribed to them in the applicable Indenture.</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80" w:firstLine="992"/>
        <w:spacing w:after="0" w:line="264" w:lineRule="auto"/>
        <w:rPr>
          <w:sz w:val="20"/>
          <w:szCs w:val="20"/>
          <w:color w:val="auto"/>
        </w:rPr>
      </w:pPr>
      <w:r>
        <w:rPr>
          <w:rFonts w:ascii="Arial" w:cs="Arial" w:eastAsia="Arial" w:hAnsi="Arial"/>
          <w:sz w:val="18"/>
          <w:szCs w:val="18"/>
          <w:color w:val="auto"/>
        </w:rPr>
        <w:t>The terms of each series of debt securities will be established by our board of directors or a committee thereof and set forth or determined in the manner provided in an Officers’ Certificate or by a supplemental indenture to the relevant Indenture. The particular terms of each series of debt securities will be described in a prospectus supplement relating to such series.</w:t>
      </w:r>
    </w:p>
    <w:p>
      <w:pPr>
        <w:spacing w:after="0" w:line="181"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We may issue debt securities in one or more series with the same or various maturities, at par, at a premium or at a discount. We need not issue all debt securities of one series at the same time and, unless otherwise provided, we may without the consent of the holders of the debt securities of that series reopen a series and issue additional debt securities of that series. We will set forth in a prospectus supplement the aggregate principal amount of any series of debt securities being offered and their specific terms, including, to the extent applicable, the following terms:</w:t>
      </w:r>
    </w:p>
    <w:p>
      <w:pPr>
        <w:spacing w:after="0" w:line="60" w:lineRule="exact"/>
        <w:rPr>
          <w:sz w:val="20"/>
          <w:szCs w:val="20"/>
          <w:color w:val="auto"/>
        </w:rPr>
      </w:pPr>
    </w:p>
    <w:p>
      <w:pPr>
        <w:ind w:left="1620" w:hanging="32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or dates on which we will pay the principal on the debt securities;</w:t>
      </w:r>
    </w:p>
    <w:p>
      <w:pPr>
        <w:spacing w:after="0" w:line="130" w:lineRule="exact"/>
        <w:rPr>
          <w:rFonts w:ascii="Arial" w:cs="Arial" w:eastAsia="Arial" w:hAnsi="Arial"/>
          <w:sz w:val="18"/>
          <w:szCs w:val="18"/>
          <w:color w:val="auto"/>
        </w:rPr>
      </w:pPr>
    </w:p>
    <w:p>
      <w:pPr>
        <w:ind w:left="1620" w:right="80" w:hanging="322"/>
        <w:spacing w:after="0" w:line="259" w:lineRule="auto"/>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92" w:lineRule="exact"/>
        <w:rPr>
          <w:rFonts w:ascii="Arial" w:cs="Arial" w:eastAsia="Arial" w:hAnsi="Arial"/>
          <w:sz w:val="18"/>
          <w:szCs w:val="18"/>
          <w:color w:val="auto"/>
        </w:rPr>
      </w:pPr>
    </w:p>
    <w:p>
      <w:pPr>
        <w:ind w:left="1620" w:hanging="322"/>
        <w:spacing w:after="0"/>
        <w:tabs>
          <w:tab w:leader="none" w:pos="16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place or places where principal of, and premium, if any, and interest on, the debt securities will be payable;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32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conditions upon which we may redeem or prepay the debt securities;</w:t>
      </w:r>
    </w:p>
    <w:p>
      <w:pPr>
        <w:spacing w:after="0" w:line="130" w:lineRule="exact"/>
        <w:rPr>
          <w:rFonts w:ascii="Arial" w:cs="Arial" w:eastAsia="Arial" w:hAnsi="Arial"/>
          <w:sz w:val="18"/>
          <w:szCs w:val="18"/>
          <w:color w:val="auto"/>
        </w:rPr>
      </w:pPr>
    </w:p>
    <w:p>
      <w:pPr>
        <w:ind w:left="1620" w:right="6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obligation or right we have to redeem, repay or purchase the debt securities pursuant to any sinking fund or analogous provision or at the option of a holder of debt securities;</w:t>
      </w:r>
    </w:p>
    <w:p>
      <w:pPr>
        <w:spacing w:after="0" w:line="75" w:lineRule="exact"/>
        <w:rPr>
          <w:rFonts w:ascii="Arial" w:cs="Arial" w:eastAsia="Arial" w:hAnsi="Arial"/>
          <w:sz w:val="18"/>
          <w:szCs w:val="18"/>
          <w:color w:val="auto"/>
        </w:rPr>
      </w:pPr>
    </w:p>
    <w:p>
      <w:pPr>
        <w:ind w:left="1620" w:right="20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75" w:lineRule="exact"/>
        <w:rPr>
          <w:rFonts w:ascii="Arial" w:cs="Arial" w:eastAsia="Arial" w:hAnsi="Arial"/>
          <w:sz w:val="18"/>
          <w:szCs w:val="18"/>
          <w:color w:val="auto"/>
        </w:rPr>
      </w:pPr>
    </w:p>
    <w:p>
      <w:pPr>
        <w:ind w:left="1620" w:right="44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minimum denominations of $2,000 and any integral multiples of $1,000 in excess thereof;</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the debt securities will be issued in certificated or “book-entry only” form;</w:t>
      </w:r>
    </w:p>
    <w:p>
      <w:pPr>
        <w:spacing w:after="0" w:line="130" w:lineRule="exact"/>
        <w:rPr>
          <w:rFonts w:ascii="Arial" w:cs="Arial" w:eastAsia="Arial" w:hAnsi="Arial"/>
          <w:sz w:val="18"/>
          <w:szCs w:val="18"/>
          <w:color w:val="auto"/>
        </w:rPr>
      </w:pPr>
    </w:p>
    <w:p>
      <w:pPr>
        <w:ind w:left="1620" w:right="14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entire principal amount;</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w:t>
      </w:r>
    </w:p>
    <w:p>
      <w:pPr>
        <w:spacing w:after="0" w:line="130" w:lineRule="exact"/>
        <w:rPr>
          <w:rFonts w:ascii="Arial" w:cs="Arial" w:eastAsia="Arial" w:hAnsi="Arial"/>
          <w:sz w:val="18"/>
          <w:szCs w:val="18"/>
          <w:color w:val="auto"/>
        </w:rPr>
      </w:pPr>
    </w:p>
    <w:p>
      <w:pPr>
        <w:ind w:left="1620" w:right="4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and premium and interest on, the debt securities will be made;</w:t>
      </w:r>
    </w:p>
    <w:p>
      <w:pPr>
        <w:spacing w:after="0" w:line="75" w:lineRule="exact"/>
        <w:rPr>
          <w:rFonts w:ascii="Arial" w:cs="Arial" w:eastAsia="Arial" w:hAnsi="Arial"/>
          <w:sz w:val="18"/>
          <w:szCs w:val="18"/>
          <w:color w:val="auto"/>
        </w:rPr>
      </w:pPr>
    </w:p>
    <w:p>
      <w:pPr>
        <w:jc w:val="both"/>
        <w:ind w:left="1620" w:right="220" w:hanging="322"/>
        <w:spacing w:after="0" w:line="264"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payments of principal of, or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6" w:lineRule="exact"/>
        <w:rPr>
          <w:rFonts w:ascii="Arial" w:cs="Arial" w:eastAsia="Arial" w:hAnsi="Arial"/>
          <w:sz w:val="18"/>
          <w:szCs w:val="18"/>
          <w:color w:val="auto"/>
        </w:rPr>
      </w:pPr>
    </w:p>
    <w:p>
      <w:pPr>
        <w:ind w:left="1620" w:right="160" w:hanging="322"/>
        <w:spacing w:after="0" w:line="259"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or premium or interest on, the debt securities will be determined, if these amounts may be determined by reference to an index based on a currency or currencies other than that in which the debt securities are denominated or designated to be payable or by reference to a commodity, commodity index, stock exchange index or financial index;</w:t>
      </w:r>
    </w:p>
    <w:p>
      <w:pPr>
        <w:spacing w:after="0" w:line="92" w:lineRule="exact"/>
        <w:rPr>
          <w:rFonts w:ascii="Arial" w:cs="Arial" w:eastAsia="Arial" w:hAnsi="Arial"/>
          <w:sz w:val="18"/>
          <w:szCs w:val="18"/>
          <w:color w:val="auto"/>
        </w:rPr>
      </w:pPr>
    </w:p>
    <w:p>
      <w:pPr>
        <w:ind w:left="1620" w:right="46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provisions relating to any collateral securing or guarantees of payments of principal of, or premium or interest on, the debt securities;</w:t>
      </w:r>
    </w:p>
    <w:p>
      <w:pPr>
        <w:spacing w:after="0" w:line="75" w:lineRule="exact"/>
        <w:rPr>
          <w:rFonts w:ascii="Arial" w:cs="Arial" w:eastAsia="Arial" w:hAnsi="Arial"/>
          <w:sz w:val="18"/>
          <w:szCs w:val="18"/>
          <w:color w:val="auto"/>
        </w:rPr>
      </w:pPr>
    </w:p>
    <w:p>
      <w:pPr>
        <w:jc w:val="both"/>
        <w:ind w:left="1620" w:right="160" w:hanging="322"/>
        <w:spacing w:after="0" w:line="264"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addition to or change in the Events of Default described in this prospectus or in the relevant Indenture with respect to the debt securities and any change in the acceleration provisions described in this prospectus or in the relevant Indenture with respect to the debt securities;</w:t>
      </w:r>
    </w:p>
    <w:p>
      <w:pPr>
        <w:spacing w:after="0" w:line="86" w:lineRule="exact"/>
        <w:rPr>
          <w:rFonts w:ascii="Arial" w:cs="Arial" w:eastAsia="Arial" w:hAnsi="Arial"/>
          <w:sz w:val="18"/>
          <w:szCs w:val="18"/>
          <w:color w:val="auto"/>
        </w:rPr>
      </w:pPr>
    </w:p>
    <w:p>
      <w:pPr>
        <w:ind w:left="1620" w:hanging="322"/>
        <w:spacing w:after="0"/>
        <w:tabs>
          <w:tab w:leader="none" w:pos="1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any addition to or change in the covenants described in this prospectus or in the relevant Indenture with respect to the debt securities;</w:t>
      </w:r>
    </w:p>
    <w:p>
      <w:pPr>
        <w:spacing w:after="0" w:line="153" w:lineRule="exact"/>
        <w:rPr>
          <w:rFonts w:ascii="Arial" w:cs="Arial" w:eastAsia="Arial" w:hAnsi="Arial"/>
          <w:sz w:val="16"/>
          <w:szCs w:val="16"/>
          <w:color w:val="auto"/>
        </w:rPr>
      </w:pPr>
    </w:p>
    <w:p>
      <w:pPr>
        <w:ind w:left="1620" w:right="420" w:hanging="322"/>
        <w:spacing w:after="0" w:line="264"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conversion provisions, including the conversion rate, the conversion period, provisions as to whether conversion will be mandatory, at the option of the holder or at our option, the events requiring an adjustment of the conversion rate and provisions affecting conversion if such series of debt securities is redeemed;</w:t>
      </w:r>
    </w:p>
    <w:p>
      <w:pPr>
        <w:spacing w:after="0" w:line="86" w:lineRule="exact"/>
        <w:rPr>
          <w:rFonts w:ascii="Arial" w:cs="Arial" w:eastAsia="Arial" w:hAnsi="Arial"/>
          <w:sz w:val="18"/>
          <w:szCs w:val="18"/>
          <w:color w:val="auto"/>
        </w:rPr>
      </w:pPr>
    </w:p>
    <w:p>
      <w:pPr>
        <w:ind w:left="1620" w:right="10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depositories, interest rate calculation agents, exchange rate calculation agents or other agents with respect to the debt securities; and</w:t>
      </w:r>
    </w:p>
    <w:p>
      <w:pPr>
        <w:spacing w:after="0" w:line="75" w:lineRule="exact"/>
        <w:rPr>
          <w:rFonts w:ascii="Arial" w:cs="Arial" w:eastAsia="Arial" w:hAnsi="Arial"/>
          <w:sz w:val="18"/>
          <w:szCs w:val="18"/>
          <w:color w:val="auto"/>
        </w:rPr>
      </w:pPr>
    </w:p>
    <w:p>
      <w:pPr>
        <w:ind w:left="1620" w:right="160" w:hanging="322"/>
        <w:spacing w:after="0" w:line="277" w:lineRule="auto"/>
        <w:tabs>
          <w:tab w:leader="none" w:pos="16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terms of the debt securities, which may modify, delete, supplement or add to any provision of the relevant Indenture as it applies to that series.</w:t>
      </w:r>
    </w:p>
    <w:p>
      <w:pPr>
        <w:spacing w:after="0" w:line="170" w:lineRule="exact"/>
        <w:rPr>
          <w:sz w:val="20"/>
          <w:szCs w:val="20"/>
          <w:color w:val="auto"/>
        </w:rPr>
      </w:pPr>
    </w:p>
    <w:p>
      <w:pPr>
        <w:ind w:left="200" w:right="80" w:firstLine="992"/>
        <w:spacing w:after="0" w:line="277" w:lineRule="auto"/>
        <w:rPr>
          <w:sz w:val="20"/>
          <w:szCs w:val="20"/>
          <w:color w:val="auto"/>
        </w:rPr>
      </w:pPr>
      <w:r>
        <w:rPr>
          <w:rFonts w:ascii="Arial" w:cs="Arial" w:eastAsia="Arial" w:hAnsi="Arial"/>
          <w:sz w:val="18"/>
          <w:szCs w:val="18"/>
          <w:color w:val="auto"/>
        </w:rPr>
        <w:t>We will provide you with information on the federal income tax considerations and other special considerations applicable to any of these debt securities in the applicable prospectus supplement.</w:t>
      </w:r>
    </w:p>
    <w:p>
      <w:pPr>
        <w:spacing w:after="0" w:line="170" w:lineRule="exact"/>
        <w:rPr>
          <w:sz w:val="20"/>
          <w:szCs w:val="20"/>
          <w:color w:val="auto"/>
        </w:rPr>
      </w:pPr>
    </w:p>
    <w:p>
      <w:pPr>
        <w:ind w:left="200" w:right="100" w:firstLine="992"/>
        <w:spacing w:after="0" w:line="277" w:lineRule="auto"/>
        <w:rPr>
          <w:sz w:val="20"/>
          <w:szCs w:val="20"/>
          <w:color w:val="auto"/>
        </w:rPr>
      </w:pPr>
      <w:r>
        <w:rPr>
          <w:rFonts w:ascii="Arial" w:cs="Arial" w:eastAsia="Arial" w:hAnsi="Arial"/>
          <w:sz w:val="18"/>
          <w:szCs w:val="18"/>
          <w:color w:val="auto"/>
        </w:rPr>
        <w:t>If we denominate the purchase price of any of the debt securities in a foreign currency or currencies or a foreign currency unit or units, or if the principal of, and premium and interest on, any series of debt securities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Transfer and Exchange</w:t>
      </w:r>
    </w:p>
    <w:p>
      <w:pPr>
        <w:spacing w:after="0" w:line="12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as depositary, or a nominee (which we refer to, in the case of any debt security represented by a global debt security, as a “book-entry debt security”), or a certificate issued in definitive registered form (which we refer to, in the case of any debt security represented by a certificated security, as a “certificated debt security”) as set forth in the applicable prospectus supplement. Except as set forth in the applicable prospectus supplement, book-entry debt securities will not be issuable in certificated form.</w:t>
      </w:r>
    </w:p>
    <w:p>
      <w:pPr>
        <w:spacing w:after="0" w:line="188" w:lineRule="exact"/>
        <w:rPr>
          <w:sz w:val="20"/>
          <w:szCs w:val="20"/>
          <w:color w:val="auto"/>
        </w:rPr>
      </w:pPr>
    </w:p>
    <w:p>
      <w:pPr>
        <w:jc w:val="both"/>
        <w:ind w:left="200" w:right="180" w:firstLine="992"/>
        <w:spacing w:after="0" w:line="312" w:lineRule="auto"/>
        <w:rPr>
          <w:sz w:val="20"/>
          <w:szCs w:val="20"/>
          <w:color w:val="auto"/>
        </w:rPr>
      </w:pPr>
      <w:r>
        <w:rPr>
          <w:rFonts w:ascii="Arial" w:cs="Arial" w:eastAsia="Arial" w:hAnsi="Arial"/>
          <w:sz w:val="16"/>
          <w:szCs w:val="16"/>
          <w:color w:val="auto"/>
        </w:rPr>
        <w:t>You may transfer or exchange certificated debt securities at any office we maintain for this purpose in accordance with the terms of the indenture. No service charge will be made for any registration of transfer or exchange of certificated debt securities, but we may require payment of a sum sufficient to cover all taxes, assessments or other governmental charges that may be imposed in connection with a transfer or exchange.</w:t>
      </w:r>
    </w:p>
    <w:p>
      <w:pPr>
        <w:spacing w:after="0" w:line="147" w:lineRule="exact"/>
        <w:rPr>
          <w:sz w:val="20"/>
          <w:szCs w:val="20"/>
          <w:color w:val="auto"/>
        </w:rPr>
      </w:pPr>
    </w:p>
    <w:p>
      <w:pPr>
        <w:ind w:left="200" w:right="200" w:firstLine="992"/>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and any premium and interest on, certificated debt securities only by surrendering the certificate representing those certificated debt securities and either execution by us, and authentication and delivery by the Trustee, of the certificate to the new holder or execution by us, and authentication and delivery by the Trustee, of a new certificate to the new holder.</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We will set forth in the applicable prospectus supplement any financial or restrictive covenants applicable to any issue of debt securities.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21" w:lineRule="exact"/>
        <w:rPr>
          <w:sz w:val="20"/>
          <w:szCs w:val="20"/>
          <w:color w:val="auto"/>
        </w:rPr>
      </w:pPr>
    </w:p>
    <w:p>
      <w:pPr>
        <w:jc w:val="both"/>
        <w:ind w:left="200" w:right="160" w:firstLine="992"/>
        <w:spacing w:after="0" w:line="264"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21" w:lineRule="exact"/>
        <w:rPr>
          <w:sz w:val="20"/>
          <w:szCs w:val="20"/>
          <w:color w:val="auto"/>
        </w:rPr>
      </w:pPr>
    </w:p>
    <w:p>
      <w:pPr>
        <w:ind w:left="200" w:right="320" w:firstLine="992"/>
        <w:spacing w:after="0" w:line="277" w:lineRule="auto"/>
        <w:rPr>
          <w:sz w:val="20"/>
          <w:szCs w:val="20"/>
          <w:color w:val="auto"/>
        </w:rPr>
      </w:pPr>
      <w:r>
        <w:rPr>
          <w:rFonts w:ascii="Arial" w:cs="Arial" w:eastAsia="Arial" w:hAnsi="Arial"/>
          <w:sz w:val="18"/>
          <w:szCs w:val="18"/>
          <w:color w:val="auto"/>
        </w:rPr>
        <w:t>We or any guarantor of the debt securities shall not consolidate with or sell, lease or convey all or substantially all of our properties or assets to, or merge with or into, in one transaction or a series of related transactions, any Person unless:</w:t>
      </w:r>
    </w:p>
    <w:p>
      <w:pPr>
        <w:spacing w:after="0" w:line="76" w:lineRule="exact"/>
        <w:rPr>
          <w:sz w:val="20"/>
          <w:szCs w:val="20"/>
          <w:color w:val="auto"/>
        </w:rPr>
      </w:pPr>
    </w:p>
    <w:p>
      <w:pPr>
        <w:ind w:left="1620" w:right="20" w:hanging="322"/>
        <w:spacing w:after="0" w:line="276" w:lineRule="auto"/>
        <w:tabs>
          <w:tab w:leader="none" w:pos="1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or such guarantor, as the case may be, is the continuing Person or, alternatively, the successor Person is organized under the laws of the United States of America, any State thereof or the District of Columbia, and such Person (if not the issuer or such guarantor, as the case may be) expressly assumes, by a supplemental indenture, executed and delivered to the Trustee, in form reasonably satisfactory to the Trustee, all of our obligations under the debt securities and under the relevant Indenture or all of such guarantor’s obligations under its guarantee of the debt securities, as the case may be;</w:t>
      </w:r>
    </w:p>
    <w:p>
      <w:pPr>
        <w:spacing w:after="0" w:line="77" w:lineRule="exact"/>
        <w:rPr>
          <w:rFonts w:ascii="Arial" w:cs="Arial" w:eastAsia="Arial" w:hAnsi="Arial"/>
          <w:sz w:val="17"/>
          <w:szCs w:val="17"/>
          <w:color w:val="auto"/>
        </w:rPr>
      </w:pPr>
    </w:p>
    <w:p>
      <w:pPr>
        <w:ind w:left="1620" w:hanging="322"/>
        <w:spacing w:after="0"/>
        <w:tabs>
          <w:tab w:leader="none" w:pos="1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has occurred or is continuing; and</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60"/>
          </w:cols>
          <w:pgMar w:left="24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80" w:hanging="322"/>
        <w:spacing w:after="0" w:line="286" w:lineRule="auto"/>
        <w:tabs>
          <w:tab w:leader="none" w:pos="1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have delivered to the Trustee an Officers’ Certificate and an Opinion of Counsel, each stating that such consolidation, merger, conveyance, or transfer and such supplemental indenture complies with this provision and that such supplemental indenture constitutes the legal, valid and binding obligation of the successor Person subject to customary exceptions.</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52" w:lineRule="exact"/>
        <w:rPr>
          <w:sz w:val="20"/>
          <w:szCs w:val="20"/>
          <w:color w:val="auto"/>
        </w:rPr>
      </w:pPr>
    </w:p>
    <w:p>
      <w:pPr>
        <w:ind w:left="1620" w:right="100" w:hanging="322"/>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in the payment of interest upon any debt security of that series when it becomes due and payable, and continuance of such Default for a period of 30 days;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 Default in the payment of principal of or premium, if any, on any debt security of that series at its maturity, or otherwise;</w:t>
      </w:r>
    </w:p>
    <w:p>
      <w:pPr>
        <w:spacing w:after="0" w:line="142" w:lineRule="exact"/>
        <w:rPr>
          <w:rFonts w:ascii="Arial" w:cs="Arial" w:eastAsia="Arial" w:hAnsi="Arial"/>
          <w:sz w:val="17"/>
          <w:szCs w:val="17"/>
          <w:color w:val="auto"/>
        </w:rPr>
      </w:pPr>
    </w:p>
    <w:p>
      <w:pPr>
        <w:ind w:left="1620" w:right="20" w:hanging="322"/>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by us or any guarantor of the debt securities of that series to comply with any of its agreements in that series of debt securities or the relevant Indenture for a period of 90 days after written notice specified below;</w:t>
      </w:r>
    </w:p>
    <w:p>
      <w:pPr>
        <w:spacing w:after="0" w:line="75" w:lineRule="exact"/>
        <w:rPr>
          <w:rFonts w:ascii="Arial" w:cs="Arial" w:eastAsia="Arial" w:hAnsi="Arial"/>
          <w:sz w:val="18"/>
          <w:szCs w:val="18"/>
          <w:color w:val="auto"/>
        </w:rPr>
      </w:pPr>
    </w:p>
    <w:p>
      <w:pPr>
        <w:ind w:left="1620" w:right="180" w:hanging="322"/>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the us or any guarantor of the debt securities of that series; and</w:t>
      </w:r>
    </w:p>
    <w:p>
      <w:pPr>
        <w:spacing w:after="0" w:line="75" w:lineRule="exact"/>
        <w:rPr>
          <w:rFonts w:ascii="Arial" w:cs="Arial" w:eastAsia="Arial" w:hAnsi="Arial"/>
          <w:sz w:val="18"/>
          <w:szCs w:val="18"/>
          <w:color w:val="auto"/>
        </w:rPr>
      </w:pPr>
    </w:p>
    <w:p>
      <w:pPr>
        <w:ind w:left="1620" w:right="320" w:hanging="322"/>
        <w:spacing w:after="0" w:line="277" w:lineRule="auto"/>
        <w:tabs>
          <w:tab w:leader="none" w:pos="1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 that is described in the applicable prospectus supplement.</w:t>
      </w:r>
    </w:p>
    <w:p>
      <w:pPr>
        <w:spacing w:after="0" w:line="170" w:lineRule="exact"/>
        <w:rPr>
          <w:sz w:val="20"/>
          <w:szCs w:val="20"/>
          <w:color w:val="auto"/>
        </w:rPr>
      </w:pPr>
    </w:p>
    <w:p>
      <w:pPr>
        <w:ind w:left="200" w:right="120" w:firstLine="992"/>
        <w:spacing w:after="0" w:line="259" w:lineRule="auto"/>
        <w:rPr>
          <w:sz w:val="20"/>
          <w:szCs w:val="20"/>
          <w:color w:val="auto"/>
        </w:rPr>
      </w:pPr>
      <w:r>
        <w:rPr>
          <w:rFonts w:ascii="Arial" w:cs="Arial" w:eastAsia="Arial" w:hAnsi="Arial"/>
          <w:sz w:val="18"/>
          <w:szCs w:val="18"/>
          <w:color w:val="auto"/>
        </w:rPr>
        <w:t>A Default with respect to a particular series of debt securities of a series (except as to certain events of bankruptcy, insolvency or reorganization) is not an Event of Default until the Trustee (by written notice to us) or the holders of at least 25% in aggregate principal amount of the outstanding debt securities of that series (by written notice to the us and the Trustee) gives notice of the Default and we do not cure such Default within the time specified after receipt of such notice.</w:t>
      </w:r>
    </w:p>
    <w:p>
      <w:pPr>
        <w:spacing w:after="0" w:line="187"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relevant Indenture may constitute an event of default under certain indebtedness of ours or our Subsidiaries outstanding from time to time.</w:t>
      </w:r>
    </w:p>
    <w:p>
      <w:pPr>
        <w:spacing w:after="0" w:line="187" w:lineRule="exact"/>
        <w:rPr>
          <w:sz w:val="20"/>
          <w:szCs w:val="20"/>
          <w:color w:val="auto"/>
        </w:rPr>
      </w:pPr>
    </w:p>
    <w:p>
      <w:pPr>
        <w:ind w:left="200" w:firstLine="992"/>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and accrued and unpaid interest, if any, on all debt securities of that series. In the case of an Event of Default resulting from certain events of bankruptcy, insolvency or reorganization, the principal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3" w:lineRule="exact"/>
        <w:rPr>
          <w:sz w:val="20"/>
          <w:szCs w:val="20"/>
          <w:color w:val="auto"/>
        </w:rPr>
      </w:pPr>
    </w:p>
    <w:p>
      <w:pPr>
        <w:ind w:left="200" w:right="20" w:firstLine="992"/>
        <w:spacing w:after="0" w:line="277" w:lineRule="auto"/>
        <w:rPr>
          <w:sz w:val="20"/>
          <w:szCs w:val="20"/>
          <w:color w:val="auto"/>
        </w:rPr>
      </w:pPr>
      <w:r>
        <w:rPr>
          <w:rFonts w:ascii="Arial" w:cs="Arial" w:eastAsia="Arial" w:hAnsi="Arial"/>
          <w:sz w:val="18"/>
          <w:szCs w:val="18"/>
          <w:color w:val="auto"/>
        </w:rPr>
        <w:t>The Indentures provide that the Trustee may refuse to perform any duty or exercise any of its rights or powers under the relevant Indenture unless the Trustee receives indemnity reasonably satisfactory to it against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any loss,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7" w:lineRule="exact"/>
        <w:rPr>
          <w:sz w:val="20"/>
          <w:szCs w:val="20"/>
          <w:color w:val="auto"/>
        </w:rPr>
      </w:pPr>
    </w:p>
    <w:p>
      <w:pPr>
        <w:ind w:left="200" w:right="540" w:firstLine="992"/>
        <w:spacing w:after="0" w:line="308" w:lineRule="auto"/>
        <w:rPr>
          <w:sz w:val="20"/>
          <w:szCs w:val="20"/>
          <w:color w:val="auto"/>
        </w:rPr>
      </w:pPr>
      <w:r>
        <w:rPr>
          <w:rFonts w:ascii="Arial" w:cs="Arial" w:eastAsia="Arial" w:hAnsi="Arial"/>
          <w:sz w:val="17"/>
          <w:szCs w:val="17"/>
          <w:color w:val="auto"/>
        </w:rPr>
        <w:t>No holder of any debt security of any series will have any right to institute any proceeding, judicial or otherwise, with respect to the relevant Indenture or for the appointment of a receiver or Trustee, or for any remedy under the relevant Indenture, unless:</w:t>
      </w:r>
    </w:p>
    <w:p>
      <w:pPr>
        <w:spacing w:after="0" w:line="52" w:lineRule="exact"/>
        <w:rPr>
          <w:sz w:val="20"/>
          <w:szCs w:val="20"/>
          <w:color w:val="auto"/>
        </w:rPr>
      </w:pPr>
    </w:p>
    <w:p>
      <w:pPr>
        <w:ind w:left="1620" w:right="80" w:hanging="322"/>
        <w:spacing w:after="0" w:line="277" w:lineRule="auto"/>
        <w:tabs>
          <w:tab w:leader="none" w:pos="1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and that holder has previously given to the Trustee written notice of a continuing Event of Default with respect to debt securities of that series; and</w:t>
      </w:r>
    </w:p>
    <w:p>
      <w:pPr>
        <w:spacing w:after="0" w:line="75" w:lineRule="exact"/>
        <w:rPr>
          <w:rFonts w:ascii="Arial" w:cs="Arial" w:eastAsia="Arial" w:hAnsi="Arial"/>
          <w:sz w:val="18"/>
          <w:szCs w:val="18"/>
          <w:color w:val="auto"/>
        </w:rPr>
      </w:pPr>
    </w:p>
    <w:p>
      <w:pPr>
        <w:ind w:left="1620" w:right="60" w:hanging="322"/>
        <w:spacing w:after="0" w:line="279" w:lineRule="auto"/>
        <w:tabs>
          <w:tab w:leader="none" w:pos="16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debt securities of that series have made written request to the Trustee, and offered indemnity or security reasonably satisfactory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71" w:lineRule="exact"/>
        <w:rPr>
          <w:sz w:val="20"/>
          <w:szCs w:val="20"/>
          <w:color w:val="auto"/>
        </w:rPr>
      </w:pPr>
    </w:p>
    <w:p>
      <w:pPr>
        <w:ind w:left="200" w:right="440" w:firstLine="992"/>
        <w:spacing w:after="0" w:line="264"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81" w:lineRule="exact"/>
        <w:rPr>
          <w:sz w:val="20"/>
          <w:szCs w:val="20"/>
          <w:color w:val="auto"/>
        </w:rPr>
      </w:pPr>
    </w:p>
    <w:p>
      <w:pPr>
        <w:ind w:left="200" w:right="280" w:firstLine="992"/>
        <w:spacing w:after="0" w:line="277" w:lineRule="auto"/>
        <w:rPr>
          <w:sz w:val="20"/>
          <w:szCs w:val="20"/>
          <w:color w:val="auto"/>
        </w:rPr>
      </w:pPr>
      <w:r>
        <w:rPr>
          <w:rFonts w:ascii="Arial" w:cs="Arial" w:eastAsia="Arial" w:hAnsi="Arial"/>
          <w:sz w:val="18"/>
          <w:szCs w:val="18"/>
          <w:color w:val="auto"/>
        </w:rPr>
        <w:t>Each Indenture requires us, within 120 days after the end of each fiscal year, to deliver to the Trustee a statement as to compliance with such Indenture.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Modification and Waiver</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and the Trustee may modify, amend or supplement the relevant Indenture or the debt securities of any series without notice to or the consent of any holder of any debt security:</w:t>
      </w:r>
    </w:p>
    <w:p>
      <w:pPr>
        <w:spacing w:after="0" w:line="76" w:lineRule="exact"/>
        <w:rPr>
          <w:sz w:val="20"/>
          <w:szCs w:val="20"/>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w:t>
      </w:r>
    </w:p>
    <w:p>
      <w:pPr>
        <w:spacing w:after="0" w:line="130" w:lineRule="exact"/>
        <w:rPr>
          <w:rFonts w:ascii="Arial" w:cs="Arial" w:eastAsia="Arial" w:hAnsi="Arial"/>
          <w:sz w:val="18"/>
          <w:szCs w:val="18"/>
          <w:color w:val="auto"/>
        </w:rPr>
      </w:pPr>
    </w:p>
    <w:p>
      <w:pPr>
        <w:ind w:left="1620" w:right="580" w:hanging="322"/>
        <w:spacing w:after="0" w:line="342" w:lineRule="auto"/>
        <w:tabs>
          <w:tab w:leader="none" w:pos="16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evidence the succession of another Person to the issuer (or any guarantor) and the assumption by any such successor of the obligations of the issuer (or those of any guarantor) in accordance with “Consolidation, Merger and Sale of Assets”;</w:t>
      </w:r>
    </w:p>
    <w:p>
      <w:pPr>
        <w:spacing w:after="0" w:line="29" w:lineRule="exact"/>
        <w:rPr>
          <w:rFonts w:ascii="Arial" w:cs="Arial" w:eastAsia="Arial" w:hAnsi="Arial"/>
          <w:sz w:val="16"/>
          <w:szCs w:val="16"/>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any additional Events of Default;</w:t>
      </w:r>
    </w:p>
    <w:p>
      <w:pPr>
        <w:spacing w:after="0" w:line="130" w:lineRule="exact"/>
        <w:rPr>
          <w:rFonts w:ascii="Arial" w:cs="Arial" w:eastAsia="Arial" w:hAnsi="Arial"/>
          <w:sz w:val="18"/>
          <w:szCs w:val="18"/>
          <w:color w:val="auto"/>
        </w:rPr>
      </w:pPr>
    </w:p>
    <w:p>
      <w:pPr>
        <w:ind w:left="1620" w:hanging="322"/>
        <w:spacing w:after="0" w:line="277" w:lineRule="auto"/>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covenants for the benefit of the holders of debt securities of any series or to surrender any right or power conferred upon us by the relevant Indenture;</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one or more guarantees or to release one or more guarantees in accordance with the relevant Indenture;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collateral security with respect to the debt securities of that series;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add or appoint a successor or separate Trustee or other agent;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provide for the issuance of any debt securities or additional debt securities of that series;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any requirements in connection with qualifying the relevant Indenture under the Trust Indenture Act;</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comply with the rules of any applicable securities depository;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right="220" w:hanging="322"/>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provide for uncertificated debt securities in addition to or in place of certificated debt securities; provided, however, that the uncertificated debt securities are issued in registered form for purposes of Section 163(f) of the Internal Revenue Code of 1986, as amended;</w:t>
      </w:r>
    </w:p>
    <w:p>
      <w:pPr>
        <w:spacing w:after="0" w:line="86" w:lineRule="exact"/>
        <w:rPr>
          <w:rFonts w:ascii="Arial" w:cs="Arial" w:eastAsia="Arial" w:hAnsi="Arial"/>
          <w:sz w:val="18"/>
          <w:szCs w:val="18"/>
          <w:color w:val="auto"/>
        </w:rPr>
      </w:pPr>
    </w:p>
    <w:p>
      <w:pPr>
        <w:ind w:left="1620" w:right="240" w:hanging="322"/>
        <w:spacing w:after="0" w:line="264" w:lineRule="auto"/>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conform the provisions of the relevant Indenture to the “Description of Notes,” “Description of the Notes and Guarantees,” “Description of Debt Securities” and any similar sections of any offering memorandum or prospectus prepared in connection with the issuance of the debt securities of that series;</w:t>
      </w:r>
    </w:p>
    <w:p>
      <w:pPr>
        <w:spacing w:after="0" w:line="86" w:lineRule="exact"/>
        <w:rPr>
          <w:rFonts w:ascii="Arial" w:cs="Arial" w:eastAsia="Arial" w:hAnsi="Arial"/>
          <w:sz w:val="18"/>
          <w:szCs w:val="18"/>
          <w:color w:val="auto"/>
        </w:rPr>
      </w:pPr>
    </w:p>
    <w:p>
      <w:pPr>
        <w:ind w:left="1620" w:hanging="322"/>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make changes to the relevant Indenture applicable only to other series of debt securities issuable thereunder;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change any other provision if the change does not adversely affect the interests of any holder of debt securities of that series.</w:t>
      </w:r>
    </w:p>
    <w:p>
      <w:pPr>
        <w:spacing w:after="0" w:line="237" w:lineRule="exact"/>
        <w:rPr>
          <w:sz w:val="20"/>
          <w:szCs w:val="20"/>
          <w:color w:val="auto"/>
        </w:rPr>
      </w:pPr>
    </w:p>
    <w:p>
      <w:pPr>
        <w:jc w:val="both"/>
        <w:ind w:left="200" w:right="100" w:firstLine="992"/>
        <w:spacing w:after="0" w:line="286" w:lineRule="auto"/>
        <w:rPr>
          <w:sz w:val="20"/>
          <w:szCs w:val="20"/>
          <w:color w:val="auto"/>
        </w:rPr>
      </w:pPr>
      <w:r>
        <w:rPr>
          <w:rFonts w:ascii="Arial" w:cs="Arial" w:eastAsia="Arial" w:hAnsi="Arial"/>
          <w:sz w:val="17"/>
          <w:szCs w:val="17"/>
          <w:color w:val="auto"/>
        </w:rPr>
        <w:t>We may also modify and amend the relevant Indenture with the written consent of the holders of at least a majority in principal amount of the outstanding debt securities of each series affected by the modifications or amendments. We may not make any modification or amendment without the consent of each affected holder of a series of debt securities then outstanding if that amendment will:</w:t>
      </w:r>
    </w:p>
    <w:p>
      <w:pPr>
        <w:spacing w:after="0" w:line="71" w:lineRule="exact"/>
        <w:rPr>
          <w:sz w:val="20"/>
          <w:szCs w:val="20"/>
          <w:color w:val="auto"/>
        </w:rPr>
      </w:pPr>
    </w:p>
    <w:p>
      <w:pPr>
        <w:ind w:left="1620" w:hanging="32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 the stated maturity of, the principal, or installment of interest, on any debt security of such series;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principal amount of, or the rate of interest on, any debt security of such series;</w:t>
      </w:r>
    </w:p>
    <w:p>
      <w:pPr>
        <w:spacing w:after="0" w:line="130" w:lineRule="exact"/>
        <w:rPr>
          <w:rFonts w:ascii="Arial" w:cs="Arial" w:eastAsia="Arial" w:hAnsi="Arial"/>
          <w:sz w:val="18"/>
          <w:szCs w:val="18"/>
          <w:color w:val="auto"/>
        </w:rPr>
      </w:pPr>
    </w:p>
    <w:p>
      <w:pPr>
        <w:ind w:left="1620" w:right="420" w:hanging="322"/>
        <w:spacing w:after="0" w:line="308"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reduce any premium payable on the redemption or required repurchase of any debt security of such series or change the date on which any debt security of such series may or must be redeemed, repaid or required to be repurchased;</w:t>
      </w:r>
    </w:p>
    <w:p>
      <w:pPr>
        <w:spacing w:after="0" w:line="51" w:lineRule="exact"/>
        <w:rPr>
          <w:rFonts w:ascii="Arial" w:cs="Arial" w:eastAsia="Arial" w:hAnsi="Arial"/>
          <w:sz w:val="17"/>
          <w:szCs w:val="17"/>
          <w:color w:val="auto"/>
        </w:rPr>
      </w:pPr>
    </w:p>
    <w:p>
      <w:pPr>
        <w:ind w:left="1620" w:hanging="322"/>
        <w:spacing w:after="0"/>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 the coin or currency in which the principal of, premium, if any, or interest on any debt security of such series is payable;</w:t>
      </w:r>
    </w:p>
    <w:p>
      <w:pPr>
        <w:spacing w:after="0" w:line="142" w:lineRule="exact"/>
        <w:rPr>
          <w:rFonts w:ascii="Arial" w:cs="Arial" w:eastAsia="Arial" w:hAnsi="Arial"/>
          <w:sz w:val="17"/>
          <w:szCs w:val="17"/>
          <w:color w:val="auto"/>
        </w:rPr>
      </w:pPr>
    </w:p>
    <w:p>
      <w:pPr>
        <w:ind w:left="1620" w:right="20" w:hanging="322"/>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impair the right of any holder of such series to institute suit for the enforcement of any payment on or after the stated maturity of any debt security of such series;</w:t>
      </w:r>
    </w:p>
    <w:p>
      <w:pPr>
        <w:spacing w:after="0" w:line="75" w:lineRule="exact"/>
        <w:rPr>
          <w:rFonts w:ascii="Arial" w:cs="Arial" w:eastAsia="Arial" w:hAnsi="Arial"/>
          <w:sz w:val="18"/>
          <w:szCs w:val="18"/>
          <w:color w:val="auto"/>
        </w:rPr>
      </w:pPr>
    </w:p>
    <w:p>
      <w:pPr>
        <w:ind w:left="1620" w:right="60" w:hanging="322"/>
        <w:spacing w:after="0" w:line="277" w:lineRule="auto"/>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debt security of such series, the consent of whose holders is required in order to take certain actions;</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reduce the requirements for quorum or voting by holders in the relevant Indenture or the debt securities of such series;</w:t>
      </w:r>
    </w:p>
    <w:p>
      <w:pPr>
        <w:spacing w:after="0" w:line="130" w:lineRule="exact"/>
        <w:rPr>
          <w:rFonts w:ascii="Arial" w:cs="Arial" w:eastAsia="Arial" w:hAnsi="Arial"/>
          <w:sz w:val="18"/>
          <w:szCs w:val="18"/>
          <w:color w:val="auto"/>
        </w:rPr>
      </w:pPr>
    </w:p>
    <w:p>
      <w:pPr>
        <w:ind w:left="1620" w:right="20" w:hanging="322"/>
        <w:spacing w:after="0" w:line="286" w:lineRule="auto"/>
        <w:tabs>
          <w:tab w:leader="none" w:pos="1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modify any of the provisions of the relevant Indenture regarding the waiver of past defaults and the waiver of certain covenants by holders except to increase any percentage vote required or to provide that certain other provisions of the relevant Indenture cannot be modified or waived without the consent of the holder of each debt security affected thereby; or</w:t>
      </w:r>
    </w:p>
    <w:p>
      <w:pPr>
        <w:spacing w:after="0" w:line="70" w:lineRule="exact"/>
        <w:rPr>
          <w:rFonts w:ascii="Arial" w:cs="Arial" w:eastAsia="Arial" w:hAnsi="Arial"/>
          <w:sz w:val="17"/>
          <w:szCs w:val="17"/>
          <w:color w:val="auto"/>
        </w:rPr>
      </w:pPr>
    </w:p>
    <w:p>
      <w:pPr>
        <w:ind w:left="1620" w:hanging="322"/>
        <w:spacing w:after="0"/>
        <w:tabs>
          <w:tab w:leader="none" w:pos="16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modify any of the above provisions.</w:t>
      </w:r>
    </w:p>
    <w:p>
      <w:pPr>
        <w:spacing w:after="0" w:line="225" w:lineRule="exact"/>
        <w:rPr>
          <w:sz w:val="20"/>
          <w:szCs w:val="20"/>
          <w:color w:val="auto"/>
        </w:rPr>
      </w:pPr>
    </w:p>
    <w:p>
      <w:pPr>
        <w:ind w:left="200" w:firstLine="992"/>
        <w:spacing w:after="0" w:line="293"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relevant Indenture. The holders of a majority in principal amount of the outstanding debt securities of any series may on behalf of the holders of all the debt securities of such series waive any past default under the relevant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Discharge of Debt Securities</w:t>
      </w:r>
    </w:p>
    <w:p>
      <w:pPr>
        <w:spacing w:after="0" w:line="121" w:lineRule="exact"/>
        <w:rPr>
          <w:sz w:val="20"/>
          <w:szCs w:val="20"/>
          <w:color w:val="auto"/>
        </w:rPr>
      </w:pPr>
    </w:p>
    <w:p>
      <w:pPr>
        <w:ind w:left="200" w:right="80" w:firstLine="992"/>
        <w:spacing w:after="0" w:line="286" w:lineRule="auto"/>
        <w:rPr>
          <w:sz w:val="20"/>
          <w:szCs w:val="20"/>
          <w:color w:val="auto"/>
        </w:rPr>
      </w:pPr>
      <w:r>
        <w:rPr>
          <w:rFonts w:ascii="Arial" w:cs="Arial" w:eastAsia="Arial" w:hAnsi="Arial"/>
          <w:sz w:val="17"/>
          <w:szCs w:val="17"/>
          <w:color w:val="auto"/>
        </w:rPr>
        <w:t>When all outstanding debt securities of any series will become due and payable within one year of their stated maturity and we have deposited with the Trustee cash sufficient to pay and discharge all outstanding debt securities of such series on the date of their stated maturity, then we may discharge our obligations under the relevant Indenture with respect to such debt securities while they remain outstanding.</w:t>
      </w:r>
    </w:p>
    <w:p>
      <w:pPr>
        <w:spacing w:after="0" w:line="27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12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None of our past, present or future directors, officers, employees or shareholders, as such, will have any liability for any of our obligations under the debt securities or the relevant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9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Governing Law</w:t>
      </w:r>
    </w:p>
    <w:p>
      <w:pPr>
        <w:spacing w:after="0" w:line="12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The Indentures and the debt securities will be governed by, and construed in accordance with, the internal laws of the State of New York.</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Concerning the Trustee</w:t>
      </w:r>
    </w:p>
    <w:p>
      <w:pPr>
        <w:spacing w:after="0" w:line="229" w:lineRule="exact"/>
        <w:rPr>
          <w:sz w:val="20"/>
          <w:szCs w:val="20"/>
          <w:color w:val="auto"/>
        </w:rPr>
      </w:pPr>
    </w:p>
    <w:p>
      <w:pPr>
        <w:ind w:left="200" w:right="20" w:firstLine="992"/>
        <w:spacing w:after="0" w:line="270" w:lineRule="auto"/>
        <w:rPr>
          <w:sz w:val="20"/>
          <w:szCs w:val="20"/>
          <w:color w:val="auto"/>
        </w:rPr>
      </w:pPr>
      <w:r>
        <w:rPr>
          <w:rFonts w:ascii="Arial" w:cs="Arial" w:eastAsia="Arial" w:hAnsi="Arial"/>
          <w:sz w:val="17"/>
          <w:szCs w:val="17"/>
          <w:color w:val="auto"/>
        </w:rPr>
        <w:t>The Indentures and provisions of the Trust Indenture Act, which are incorporated by reference therein, contain limitations on the rights of the trustee, should it become one of our creditors, to obtain payment of claims in certain cases, or to realize on property received in respect of any such claim, as security or otherwise. The Trustee and its affiliates may engage in, and will be permitted to continue to engage in, other transactions with us and our affiliates; provided, however, that if it acquires any conflicting interest (as defined in the Trust Indenture Act), it must eliminate the conflict or resign. The holders of a majority in principal amount of the then outstanding debt securities of any series will have the right to direct the time, method and place of conducting any proceeding for exercising any remedy available to the Trustee. The Trust Indenture Act and the indenture provide that in case an event of default shall occur (and be continuing), the Trustee will be required, in the exercise of its rights and powers, to use the degree of care and skill of a prudent person in the conduct of such person’s affairs. Subject to such provision, the Trustee will be under no obligation to exercise any of its rights or powers under the indenture at the request of any of the holders of the debt securities issued thereunder, unless they have offered to the Trustee indemnity satisfactory to it.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GUARANTEES</w:t>
      </w:r>
    </w:p>
    <w:p>
      <w:pPr>
        <w:spacing w:after="0" w:line="229" w:lineRule="exact"/>
        <w:rPr>
          <w:sz w:val="20"/>
          <w:szCs w:val="20"/>
          <w:color w:val="auto"/>
        </w:rPr>
      </w:pPr>
    </w:p>
    <w:p>
      <w:pPr>
        <w:ind w:left="200" w:right="140" w:firstLine="992"/>
        <w:spacing w:after="0" w:line="255" w:lineRule="auto"/>
        <w:rPr>
          <w:sz w:val="20"/>
          <w:szCs w:val="20"/>
          <w:color w:val="auto"/>
        </w:rPr>
      </w:pPr>
      <w:r>
        <w:rPr>
          <w:rFonts w:ascii="Arial" w:cs="Arial" w:eastAsia="Arial" w:hAnsi="Arial"/>
          <w:sz w:val="18"/>
          <w:szCs w:val="18"/>
          <w:color w:val="auto"/>
        </w:rPr>
        <w:t>The debt securities of any series of the applicable issuer may have the benefit of guarantees (each, a “Guarantee”), by one or more of its subsidiaries (each, a “Guarantor”). In the case of Southwest Gas Corporation, the debt securities may or may not be guaranteed by Southwest Gas Holdings, Inc., its direct parent. The Guarantees, if any, will be the unsubordinated and, unless otherwise expressly stated in the applicable prospectus supplement, unsecured obligations of the respective Guarantors. The Guarantors of any series of guaranteed debt securities of each issuer may differ from the Guarantors of any other series of guaranteed debt securities of each issuer. In the event Southwest Gas Holdings, Inc. or Southwest Gas Corporation, as applicable, issues a series of guaranteed debt securities, the specific Guarantors of the debt securities of that series will be identified in the applicable prospectus supplement.</w:t>
      </w:r>
    </w:p>
    <w:p>
      <w:pPr>
        <w:spacing w:after="0" w:line="189" w:lineRule="exact"/>
        <w:rPr>
          <w:sz w:val="20"/>
          <w:szCs w:val="20"/>
          <w:color w:val="auto"/>
        </w:rPr>
      </w:pPr>
    </w:p>
    <w:p>
      <w:pPr>
        <w:ind w:left="200" w:firstLine="992"/>
        <w:spacing w:after="0" w:line="293" w:lineRule="auto"/>
        <w:rPr>
          <w:sz w:val="20"/>
          <w:szCs w:val="20"/>
          <w:color w:val="auto"/>
        </w:rPr>
      </w:pPr>
      <w:r>
        <w:rPr>
          <w:rFonts w:ascii="Arial" w:cs="Arial" w:eastAsia="Arial" w:hAnsi="Arial"/>
          <w:sz w:val="16"/>
          <w:szCs w:val="16"/>
          <w:color w:val="auto"/>
        </w:rPr>
        <w:t>If Southwest Gas Holdings, Inc. or Southwest Gas Corporation, as applicable, issues a series of guaranteed debt securities, a description of some of the terms of Guarantees of those debt securities will be set forth in the applicable prospectus supplement. Unless otherwise provided in the prospectus supplement relating to a series of guaranteed debt securities, each Guarantor of the debt securities of such series will unconditionally guarantee the due and punctual payment of the principal of, and premium, if any, and interest, if any, on and any other amounts payable with respect to, each debt security of such series and the due and punctual performance of all of the applicable issuer’s other obligations under the applicable Indenture with respect to the debt securities of such series, all in accordance with the terms of such debt securities and the applicable Indenture.</w:t>
      </w:r>
    </w:p>
    <w:p>
      <w:pPr>
        <w:spacing w:after="0" w:line="165" w:lineRule="exact"/>
        <w:rPr>
          <w:sz w:val="20"/>
          <w:szCs w:val="20"/>
          <w:color w:val="auto"/>
        </w:rPr>
      </w:pPr>
    </w:p>
    <w:p>
      <w:pPr>
        <w:ind w:left="200" w:firstLine="992"/>
        <w:spacing w:after="0" w:line="290" w:lineRule="auto"/>
        <w:rPr>
          <w:sz w:val="20"/>
          <w:szCs w:val="20"/>
          <w:color w:val="auto"/>
        </w:rPr>
      </w:pPr>
      <w:r>
        <w:rPr>
          <w:rFonts w:ascii="Arial" w:cs="Arial" w:eastAsia="Arial" w:hAnsi="Arial"/>
          <w:sz w:val="16"/>
          <w:szCs w:val="16"/>
          <w:color w:val="auto"/>
        </w:rPr>
        <w:t>Notwithstanding the foregoing, unless otherwise provided in the prospectus supplement relating to a series of guaranteed debt securities, the applicable Indenture will contain provisions to the effect that the obligations of each Guarantor under its Guarantees and such Indenture shall be limited to the maximum amount as will, after giving effect to all other contingent and fixed liabilities of such Guarantor, result in the obligations of such Guarantor under such Guarantees and such Indenture not constituting a fraudulent conveyance or fraudulent transfer under applicable law. However, there can be no assurance that, notwithstanding such limitation, a court would not determine that a Guarantee constituted a fraudulent conveyance or fraudulent transfer under applicable law. If that were to occur, the court could void the applicable Guarantor’s obligations under that Guarantee, subordinate that Guarantee to other debt and other liabilities of that Guarantor or take other action detrimental to holders of the debt securities of the applicable series, including directing the holders to return any payments received from the applicable Guarantor.</w:t>
      </w:r>
    </w:p>
    <w:p>
      <w:pPr>
        <w:spacing w:after="0" w:line="166" w:lineRule="exact"/>
        <w:rPr>
          <w:sz w:val="20"/>
          <w:szCs w:val="20"/>
          <w:color w:val="auto"/>
        </w:rPr>
      </w:pPr>
    </w:p>
    <w:p>
      <w:pPr>
        <w:ind w:left="200" w:right="100" w:firstLine="992"/>
        <w:spacing w:after="0" w:line="264" w:lineRule="auto"/>
        <w:rPr>
          <w:sz w:val="20"/>
          <w:szCs w:val="20"/>
          <w:color w:val="auto"/>
        </w:rPr>
      </w:pPr>
      <w:r>
        <w:rPr>
          <w:rFonts w:ascii="Arial" w:cs="Arial" w:eastAsia="Arial" w:hAnsi="Arial"/>
          <w:sz w:val="18"/>
          <w:szCs w:val="18"/>
          <w:color w:val="auto"/>
        </w:rPr>
        <w:t>The applicable prospectus supplement relating to any series of guaranteed debt securities will specify other terms of the applicable Guarantees, which may include provisions that allow a Guarantor to be released from its obligations under its Guarantee under specified circumstances or that provide for one or more Guarantees to be secured by specified collateral.</w:t>
      </w:r>
    </w:p>
    <w:p>
      <w:pPr>
        <w:spacing w:after="0" w:line="181" w:lineRule="exact"/>
        <w:rPr>
          <w:sz w:val="20"/>
          <w:szCs w:val="20"/>
          <w:color w:val="auto"/>
        </w:rPr>
      </w:pPr>
    </w:p>
    <w:p>
      <w:pPr>
        <w:ind w:left="200" w:firstLine="992"/>
        <w:spacing w:after="0" w:line="288" w:lineRule="auto"/>
        <w:rPr>
          <w:sz w:val="20"/>
          <w:szCs w:val="20"/>
          <w:color w:val="auto"/>
        </w:rPr>
      </w:pPr>
      <w:r>
        <w:rPr>
          <w:rFonts w:ascii="Arial" w:cs="Arial" w:eastAsia="Arial" w:hAnsi="Arial"/>
          <w:sz w:val="16"/>
          <w:szCs w:val="16"/>
          <w:color w:val="auto"/>
        </w:rPr>
        <w:t>Unless otherwise expressly stated in the applicable prospectus supplement, each Guarantee will be the unsubordinated and unsecured obligation of the applicable Guarantor and will rank on a parity in right of payment with all other unsecured and unsubordinated indebtedness and guarantees of such Guarantor. Each Guarantee (other than a secured Guarantee) will be effectively subordinated to all existing and future secured indebtedness and secured guarantees of the applicable Guarantor to the extent of the value of the collateral securing that indebtedness and those guarantees. Consequently, in the event of a bankruptcy, liquidation, dissolution, reorganization or similar proceeding with respect to any Guarantor that has provided an unsecured Guarantee of any debt securities, the holders of that Guarantor’s secured indebtedness and secured guarantees will be entitled to proceed directly against the collateral that secures that secured indebtedness or those secured guarantees, as the case may be, and such collateral will not be available for satisfaction of any amount owed by such Guarantor under its unsecured indebtedness and unsecured guarantees, including its unsecured Guarantees of any debt securities, until that secured debt and those secured guarantees are satisfied in full. Unless otherwise provided in the applicable prospectus supplement, the Indentures will not limit the ability of any Guarantor to incur secured indebtedness or issue secured guarantees.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79" w:lineRule="auto"/>
        <w:rPr>
          <w:sz w:val="20"/>
          <w:szCs w:val="20"/>
          <w:color w:val="auto"/>
        </w:rPr>
      </w:pPr>
      <w:r>
        <w:rPr>
          <w:rFonts w:ascii="Arial" w:cs="Arial" w:eastAsia="Arial" w:hAnsi="Arial"/>
          <w:sz w:val="17"/>
          <w:szCs w:val="17"/>
          <w:color w:val="auto"/>
        </w:rPr>
        <w:t>Unless otherwise expressly stated in the applicable prospectus supplement, each secured Guarantee will be an unsubordinated obligation of the applicable Guarantor and will rank on a parity in right of payment with all other unsecured and unsubordinated indebtedness and guarantees of such Guarantor, except that such secured Guarantee will effectively rank senior to such Guarantor’s unsecured and unsubordinated indebtedness and guarantees in respect of claims against the collateral securing that secured Guarantee.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DEPOSITARY SHARES</w:t>
      </w:r>
    </w:p>
    <w:p>
      <w:pPr>
        <w:spacing w:after="0" w:line="229" w:lineRule="exact"/>
        <w:rPr>
          <w:sz w:val="20"/>
          <w:szCs w:val="20"/>
          <w:color w:val="auto"/>
        </w:rPr>
      </w:pPr>
    </w:p>
    <w:p>
      <w:pPr>
        <w:ind w:left="200" w:right="60" w:firstLine="992"/>
        <w:spacing w:after="0" w:line="302" w:lineRule="auto"/>
        <w:rPr>
          <w:sz w:val="20"/>
          <w:szCs w:val="20"/>
          <w:color w:val="auto"/>
        </w:rPr>
      </w:pPr>
      <w:r>
        <w:rPr>
          <w:rFonts w:ascii="Arial" w:cs="Arial" w:eastAsia="Arial" w:hAnsi="Arial"/>
          <w:sz w:val="16"/>
          <w:szCs w:val="16"/>
          <w:color w:val="auto"/>
        </w:rPr>
        <w:t>The following description of depositary shares is only a summary and is qualified by any prospectus supplement and deposit agreement and depositary receipt used in connection with the issuance of each series of preferred stock issued through the use of depositary shares. Therefore, you should read carefully the more detailed description that would be contained in any prospectus supplement and form of deposit agreement and depositary receipt, copies of which are incorporated by reference as exhibits to the registration statement of which this prospectus is a part.</w:t>
      </w:r>
    </w:p>
    <w:p>
      <w:pPr>
        <w:spacing w:after="0" w:line="154" w:lineRule="exact"/>
        <w:rPr>
          <w:sz w:val="20"/>
          <w:szCs w:val="20"/>
          <w:color w:val="auto"/>
        </w:rPr>
      </w:pPr>
    </w:p>
    <w:p>
      <w:pPr>
        <w:ind w:left="200" w:right="240" w:firstLine="992"/>
        <w:spacing w:after="0" w:line="259" w:lineRule="auto"/>
        <w:rPr>
          <w:sz w:val="20"/>
          <w:szCs w:val="20"/>
          <w:color w:val="auto"/>
        </w:rPr>
      </w:pPr>
      <w:r>
        <w:rPr>
          <w:rFonts w:ascii="Arial" w:cs="Arial" w:eastAsia="Arial" w:hAnsi="Arial"/>
          <w:sz w:val="18"/>
          <w:szCs w:val="18"/>
          <w:color w:val="auto"/>
        </w:rPr>
        <w:t>We may offer fractional shares of preferred stock by issuing receipts for depositary shares. The shares of any series of preferred stock represented by depositary shares will be deposited with a bank or trust company and the holders will be issued a depositary receipt entitling them, in proportion to the fraction of a share the receipt represents, to all the rights and preferences of the preferred stock, as more fully described above under the heading “Description of Capital Stock—Preferred Stock.”</w:t>
      </w:r>
    </w:p>
    <w:p>
      <w:pPr>
        <w:spacing w:after="0" w:line="187" w:lineRule="exact"/>
        <w:rPr>
          <w:sz w:val="20"/>
          <w:szCs w:val="20"/>
          <w:color w:val="auto"/>
        </w:rPr>
      </w:pPr>
    </w:p>
    <w:p>
      <w:pPr>
        <w:ind w:left="200" w:right="20" w:firstLine="992"/>
        <w:spacing w:after="0" w:line="255" w:lineRule="auto"/>
        <w:rPr>
          <w:sz w:val="20"/>
          <w:szCs w:val="20"/>
          <w:color w:val="auto"/>
        </w:rPr>
      </w:pPr>
      <w:r>
        <w:rPr>
          <w:rFonts w:ascii="Arial" w:cs="Arial" w:eastAsia="Arial" w:hAnsi="Arial"/>
          <w:sz w:val="18"/>
          <w:szCs w:val="18"/>
          <w:color w:val="auto"/>
        </w:rPr>
        <w:t>The bank or trust company that will be the depositary will function as the intermediary between Southwest Gas Holdings and the holders of the depositary receipts. Dividends and other distributions will be provided to the depositary for ultimate distribution to the holders. Redemption of the depositary shares and voting the underlying preferred stock will also be coordinated through the depositary. Holders will have the right to surrender their depositary receipts to the depositary and be entitled to receive whole shares of preferred stock that are represented by such receipts. Though the preferred stock will continue to have all of the rights and preferences, there may be no market opportunity to trade such stock and once withdrawn from the depositary, it may not be redeposited.</w:t>
      </w:r>
    </w:p>
    <w:p>
      <w:pPr>
        <w:spacing w:after="0" w:line="193"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We will pay all transfer and other taxes and governmental charges arising solely from the existence of the depositary arrangement. Southwest Gas Holdings will also pay charges of the depositary in connection with the initial deposit of the preferred stock and the initial issuance of the depositary receipts, any redemption of the preferred stock and any withdrawal of preferred stock by the holder of the depositary shares. Holders will pay other transfer and other taxes and governmental charges and such other charges specifically provided in the deposit agreement for their individual accounts.</w:t>
      </w:r>
    </w:p>
    <w:p>
      <w:pPr>
        <w:spacing w:after="0" w:line="40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WARRANTS</w:t>
      </w:r>
    </w:p>
    <w:p>
      <w:pPr>
        <w:spacing w:after="0" w:line="333"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60" w:firstLine="992"/>
        <w:spacing w:after="0" w:line="257" w:lineRule="auto"/>
        <w:rPr>
          <w:sz w:val="20"/>
          <w:szCs w:val="20"/>
          <w:color w:val="auto"/>
        </w:rPr>
      </w:pPr>
      <w:r>
        <w:rPr>
          <w:rFonts w:ascii="Arial" w:cs="Arial" w:eastAsia="Arial" w:hAnsi="Arial"/>
          <w:sz w:val="18"/>
          <w:szCs w:val="18"/>
          <w:color w:val="auto"/>
        </w:rPr>
        <w:t>We may issue warrants to purchase debt securities, common stock, preferred stock, depositary shares or any combination of these securities. We may issue the warrants independently or together with any underlying securities, and the warrants may be attached or separate from the underlying securities. We may also issue a series of warrants under a separate warrant agreement to be entered into between us and a warrant agent. The warrant agent will act solely as our agent in connection with the warrants of such series and will not assume any obligation or relationship of agency for or with holders or beneficial owners of warrants.</w:t>
      </w:r>
    </w:p>
    <w:p>
      <w:pPr>
        <w:spacing w:after="0" w:line="188" w:lineRule="exact"/>
        <w:rPr>
          <w:sz w:val="20"/>
          <w:szCs w:val="20"/>
          <w:color w:val="auto"/>
        </w:rPr>
      </w:pPr>
    </w:p>
    <w:p>
      <w:pPr>
        <w:ind w:left="200" w:right="220" w:firstLine="992"/>
        <w:spacing w:after="0" w:line="279" w:lineRule="auto"/>
        <w:rPr>
          <w:sz w:val="20"/>
          <w:szCs w:val="20"/>
          <w:color w:val="auto"/>
        </w:rPr>
      </w:pPr>
      <w:r>
        <w:rPr>
          <w:rFonts w:ascii="Arial" w:cs="Arial" w:eastAsia="Arial" w:hAnsi="Arial"/>
          <w:sz w:val="17"/>
          <w:szCs w:val="17"/>
          <w:color w:val="auto"/>
        </w:rPr>
        <w:t>The following description is a summary of selected provisions relating to the warrants that we may issue. The summary is not complete. When warrants are offered in the future, a prospectus supplement, or other offering material as applicable, will explain the particular terms of those securities and the extent to which these general provisions may apply. The specific terms of the warrants as described in a prospectus supplement will supplement and, if applicable, may modify or replace the general terms described in this section.</w:t>
      </w:r>
    </w:p>
    <w:p>
      <w:pPr>
        <w:spacing w:after="0" w:line="171" w:lineRule="exact"/>
        <w:rPr>
          <w:sz w:val="20"/>
          <w:szCs w:val="20"/>
          <w:color w:val="auto"/>
        </w:rPr>
      </w:pPr>
    </w:p>
    <w:p>
      <w:pPr>
        <w:ind w:left="200" w:right="20" w:firstLine="992"/>
        <w:spacing w:after="0" w:line="259" w:lineRule="auto"/>
        <w:rPr>
          <w:sz w:val="20"/>
          <w:szCs w:val="20"/>
          <w:color w:val="auto"/>
        </w:rPr>
      </w:pPr>
      <w:r>
        <w:rPr>
          <w:rFonts w:ascii="Arial" w:cs="Arial" w:eastAsia="Arial" w:hAnsi="Arial"/>
          <w:sz w:val="18"/>
          <w:szCs w:val="18"/>
          <w:color w:val="auto"/>
        </w:rPr>
        <w:t>This summary and any description of warrants in the applicable prospectus supplement or other offering material is subject to and is qualified in its entirety by reference to all the provisions of any specific warrant document or agreement, which we will file with the SEC for incorporation by reference into this prospectus. See “Where You Can Find More Information” and “Incorporation by Reference” for information on how to obtain a copy of a warrant document when it is filed.</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When we refer to a series of warrants, we mean all warrants issued as part of the same series under the applicable warrant agreement.</w:t>
      </w:r>
    </w:p>
    <w:p>
      <w:pPr>
        <w:spacing w:after="0" w:line="352" w:lineRule="exact"/>
        <w:rPr>
          <w:sz w:val="20"/>
          <w:szCs w:val="20"/>
          <w:color w:val="auto"/>
        </w:rPr>
      </w:pPr>
    </w:p>
    <w:p>
      <w:pPr>
        <w:ind w:left="1200"/>
        <w:spacing w:after="0"/>
        <w:rPr>
          <w:sz w:val="20"/>
          <w:szCs w:val="20"/>
          <w:color w:val="auto"/>
        </w:rPr>
      </w:pPr>
      <w:r>
        <w:rPr>
          <w:rFonts w:ascii="Arial" w:cs="Arial" w:eastAsia="Arial" w:hAnsi="Arial"/>
          <w:sz w:val="18"/>
          <w:szCs w:val="18"/>
          <w:b w:val="1"/>
          <w:bCs w:val="1"/>
          <w:color w:val="auto"/>
        </w:rPr>
        <w:t>Terms</w:t>
      </w:r>
    </w:p>
    <w:p>
      <w:pPr>
        <w:spacing w:after="0" w:line="121" w:lineRule="exact"/>
        <w:rPr>
          <w:sz w:val="20"/>
          <w:szCs w:val="20"/>
          <w:color w:val="auto"/>
        </w:rPr>
      </w:pPr>
    </w:p>
    <w:p>
      <w:pPr>
        <w:ind w:left="200" w:right="340" w:firstLine="992"/>
        <w:spacing w:after="0" w:line="277" w:lineRule="auto"/>
        <w:rPr>
          <w:sz w:val="20"/>
          <w:szCs w:val="20"/>
          <w:color w:val="auto"/>
        </w:rPr>
      </w:pPr>
      <w:r>
        <w:rPr>
          <w:rFonts w:ascii="Arial" w:cs="Arial" w:eastAsia="Arial" w:hAnsi="Arial"/>
          <w:sz w:val="18"/>
          <w:szCs w:val="18"/>
          <w:color w:val="auto"/>
        </w:rPr>
        <w:t>The prospectus supplement relating to any warrants that we may offer will contain the specific terms of the warrants. These terms may include the following:</w:t>
      </w:r>
    </w:p>
    <w:p>
      <w:pPr>
        <w:spacing w:after="0" w:line="76" w:lineRule="exact"/>
        <w:rPr>
          <w:sz w:val="20"/>
          <w:szCs w:val="20"/>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title of the warrants;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total number of warrants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 or prices at which the warrants will be issued;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currency or currencies that investors may use to pay for the warrants;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the warrants will be issued in registered form or bearer form;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minimum or maximum amount of warrants that may be exercised at any one time</w:t>
      </w:r>
    </w:p>
    <w:p>
      <w:pPr>
        <w:spacing w:after="0" w:line="130" w:lineRule="exact"/>
        <w:rPr>
          <w:rFonts w:ascii="Arial" w:cs="Arial" w:eastAsia="Arial" w:hAnsi="Arial"/>
          <w:sz w:val="18"/>
          <w:szCs w:val="18"/>
          <w:color w:val="auto"/>
        </w:rPr>
      </w:pPr>
    </w:p>
    <w:p>
      <w:pPr>
        <w:ind w:left="1620" w:right="200" w:hanging="322"/>
        <w:spacing w:after="0" w:line="277"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designation and terms of the underlying securities with which the warrants are issued and the number of warrants issued with each underlying security;</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applicable, the date on and after which the warrants and the related underlying securities will be separately transferable;</w:t>
      </w:r>
    </w:p>
    <w:p>
      <w:pPr>
        <w:spacing w:after="0" w:line="142" w:lineRule="exact"/>
        <w:rPr>
          <w:rFonts w:ascii="Arial" w:cs="Arial" w:eastAsia="Arial" w:hAnsi="Arial"/>
          <w:sz w:val="17"/>
          <w:szCs w:val="17"/>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a discussion of material United States federal income tax considerations;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applicable, the terms of redemption of the warrants;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identity of the warrant agent, if any;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procedures and conditions relating to the exercise of the warrants;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other terms of the warrants, including terms, procedures, and limitations relating to the exchange and exercise of the warrants.</w:t>
      </w:r>
    </w:p>
    <w:p>
      <w:pPr>
        <w:spacing w:after="0" w:line="35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Warrant Agreements</w:t>
      </w:r>
    </w:p>
    <w:p>
      <w:pPr>
        <w:spacing w:after="0" w:line="121" w:lineRule="exact"/>
        <w:rPr>
          <w:sz w:val="20"/>
          <w:szCs w:val="20"/>
          <w:color w:val="auto"/>
        </w:rPr>
      </w:pPr>
    </w:p>
    <w:p>
      <w:pPr>
        <w:ind w:left="200" w:right="140" w:firstLine="992"/>
        <w:spacing w:after="0" w:line="264" w:lineRule="auto"/>
        <w:rPr>
          <w:sz w:val="20"/>
          <w:szCs w:val="20"/>
          <w:color w:val="auto"/>
        </w:rPr>
      </w:pPr>
      <w:r>
        <w:rPr>
          <w:rFonts w:ascii="Arial" w:cs="Arial" w:eastAsia="Arial" w:hAnsi="Arial"/>
          <w:sz w:val="18"/>
          <w:szCs w:val="18"/>
          <w:color w:val="auto"/>
        </w:rPr>
        <w:t>We may issue the warrants in one or more series under one or more warrant agreements, each to be entered into between us and a bank, trust company, or other financial institution as warrant agent. We may add, replace, or terminate warrant agents from time to time. We may also choose to act as our own warrant agent or may choose one of our subsidiaries to do so.</w:t>
      </w:r>
    </w:p>
    <w:p>
      <w:pPr>
        <w:spacing w:after="0" w:line="181" w:lineRule="exact"/>
        <w:rPr>
          <w:sz w:val="20"/>
          <w:szCs w:val="20"/>
          <w:color w:val="auto"/>
        </w:rPr>
      </w:pPr>
    </w:p>
    <w:p>
      <w:pPr>
        <w:ind w:left="200" w:firstLine="992"/>
        <w:spacing w:after="0" w:line="257" w:lineRule="auto"/>
        <w:rPr>
          <w:sz w:val="20"/>
          <w:szCs w:val="20"/>
          <w:color w:val="auto"/>
        </w:rPr>
      </w:pPr>
      <w:r>
        <w:rPr>
          <w:rFonts w:ascii="Arial" w:cs="Arial" w:eastAsia="Arial" w:hAnsi="Arial"/>
          <w:sz w:val="18"/>
          <w:szCs w:val="18"/>
          <w:color w:val="auto"/>
        </w:rPr>
        <w:t>The warrant agent under a warrant agreement will act solely as our agent in connection with the warrants issued under that agreement. The warrant agent will not assume any obligation or relationship of agency or trust for or with any holders of those warrants. Any holder of warrants may, without the consent of any other person, enforce by appropriate legal action, on its own behalf, its right to exercise those warrants in accordance with their terms. Until the warrant is properly exercised, no holder of any warrant will be entitled to any rights of a holder of the warrant property purchasable upon exercise of the warrant.</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Form, Exchange, and Transfer</w:t>
      </w:r>
    </w:p>
    <w:p>
      <w:pPr>
        <w:spacing w:after="0" w:line="121" w:lineRule="exact"/>
        <w:rPr>
          <w:sz w:val="20"/>
          <w:szCs w:val="20"/>
          <w:color w:val="auto"/>
        </w:rPr>
      </w:pPr>
    </w:p>
    <w:p>
      <w:pPr>
        <w:ind w:left="200" w:right="40" w:firstLine="992"/>
        <w:spacing w:after="0" w:line="255" w:lineRule="auto"/>
        <w:rPr>
          <w:sz w:val="20"/>
          <w:szCs w:val="20"/>
          <w:color w:val="auto"/>
        </w:rPr>
      </w:pPr>
      <w:r>
        <w:rPr>
          <w:rFonts w:ascii="Arial" w:cs="Arial" w:eastAsia="Arial" w:hAnsi="Arial"/>
          <w:sz w:val="18"/>
          <w:szCs w:val="18"/>
          <w:color w:val="auto"/>
        </w:rPr>
        <w:t>We may issue the warrants in registered form or bearer form. Warrants issued in registered form, i.e., book-entry form, will be represented by a global security registered in the name of a depository, which will be the holder of all the warrants represented by the global security. Those investors who own beneficial interests in a global warrant will do so through participants in the depository’s system, and the rights of these indirect owners will be governed solely by the applicable procedures of the depository and its participants. In addition, we may issue warrants in non-global form, i.e., bearer form. If any warrants are issued in non-global form, warrant certificates may be exchanged for new warrant certificates of different denominations, and holders may exchange, transfer, or exercise their warrants at the warrant agent’s office or any other office indicated in the applicable prospectus supplement or other offering material.</w:t>
      </w:r>
    </w:p>
    <w:p>
      <w:pPr>
        <w:spacing w:after="0" w:line="189" w:lineRule="exact"/>
        <w:rPr>
          <w:sz w:val="20"/>
          <w:szCs w:val="20"/>
          <w:color w:val="auto"/>
        </w:rPr>
      </w:pPr>
    </w:p>
    <w:p>
      <w:pPr>
        <w:ind w:left="200" w:right="240" w:firstLine="992"/>
        <w:spacing w:after="0" w:line="276" w:lineRule="auto"/>
        <w:rPr>
          <w:sz w:val="20"/>
          <w:szCs w:val="20"/>
          <w:color w:val="auto"/>
        </w:rPr>
      </w:pPr>
      <w:r>
        <w:rPr>
          <w:rFonts w:ascii="Arial" w:cs="Arial" w:eastAsia="Arial" w:hAnsi="Arial"/>
          <w:sz w:val="17"/>
          <w:szCs w:val="17"/>
          <w:color w:val="auto"/>
        </w:rPr>
        <w:t>Prior to the exercise of their warrants, holders of warrants exercisable for debt securities will not have any of the rights of holders of the debt securities purchasable upon such exercise and will not be entitled to payments of principal (or premium, if any) or interest, if any, on the debt securities purchasable upon such exercise. Prior to the exercise of their warrants, holders of warrants exercisable for shares of preferred stock or common stock will not have any rights of holders of the preferred stock or common stock purchasable upon such exercise and will not be entitled to dividend payments, if any, or voting rights of the preferred stock or common stock purchasable upon such exercise.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Exercise of Warrants</w:t>
      </w:r>
    </w:p>
    <w:p>
      <w:pPr>
        <w:spacing w:after="0" w:line="121" w:lineRule="exact"/>
        <w:rPr>
          <w:sz w:val="20"/>
          <w:szCs w:val="20"/>
          <w:color w:val="auto"/>
        </w:rPr>
      </w:pPr>
    </w:p>
    <w:p>
      <w:pPr>
        <w:ind w:left="200" w:right="80" w:firstLine="992"/>
        <w:spacing w:after="0" w:line="302" w:lineRule="auto"/>
        <w:rPr>
          <w:sz w:val="20"/>
          <w:szCs w:val="20"/>
          <w:color w:val="auto"/>
        </w:rPr>
      </w:pPr>
      <w:r>
        <w:rPr>
          <w:rFonts w:ascii="Arial" w:cs="Arial" w:eastAsia="Arial" w:hAnsi="Arial"/>
          <w:sz w:val="16"/>
          <w:szCs w:val="16"/>
          <w:color w:val="auto"/>
        </w:rPr>
        <w:t>A warrant will entitle the holder to purchase for cash an amount of securities at an exercise price that will be stated in, or that will be determinable as described in, the applicable prospectus supplement or other offering material. Warrants may be exercised at any time up to the close of business on the expiration date set forth in the applicable prospectus supplement or other offering material. After the close of business on the expiration date, unexercised warrants will become void. Warrants may be redeemed as set forth in the applicable prospectus supplement or other offering material.</w:t>
      </w:r>
    </w:p>
    <w:p>
      <w:pPr>
        <w:spacing w:after="0" w:line="154" w:lineRule="exact"/>
        <w:rPr>
          <w:sz w:val="20"/>
          <w:szCs w:val="20"/>
          <w:color w:val="auto"/>
        </w:rPr>
      </w:pPr>
    </w:p>
    <w:p>
      <w:pPr>
        <w:ind w:left="200" w:firstLine="992"/>
        <w:spacing w:after="0" w:line="302" w:lineRule="auto"/>
        <w:rPr>
          <w:sz w:val="20"/>
          <w:szCs w:val="20"/>
          <w:color w:val="auto"/>
        </w:rPr>
      </w:pPr>
      <w:r>
        <w:rPr>
          <w:rFonts w:ascii="Arial" w:cs="Arial" w:eastAsia="Arial" w:hAnsi="Arial"/>
          <w:sz w:val="16"/>
          <w:szCs w:val="16"/>
          <w:color w:val="auto"/>
        </w:rPr>
        <w:t>Warrants may be exercised as set forth in the applicable prospectus supplement or other offering material. Upon receipt of payment and the warrant certificate properly completed and duly executed at the corporate trust office of the warrant agent or any other office indicated in the prospectus supplement or other offering material, we will forward, as soon as practicable, the securities purchasable upon such exercise. If less than all of the warrants represented by such warrant certificate are exercised, a new warrant certificate will be issued for the remaining warrants.</w:t>
      </w: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UNITS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00" w:firstLine="992"/>
        <w:spacing w:after="0" w:line="259" w:lineRule="auto"/>
        <w:rPr>
          <w:sz w:val="20"/>
          <w:szCs w:val="20"/>
          <w:color w:val="auto"/>
        </w:rPr>
      </w:pPr>
      <w:r>
        <w:rPr>
          <w:rFonts w:ascii="Arial" w:cs="Arial" w:eastAsia="Arial" w:hAnsi="Arial"/>
          <w:sz w:val="18"/>
          <w:szCs w:val="18"/>
          <w:color w:val="auto"/>
        </w:rPr>
        <w:t>We may issue units composed of any combination of our debt securities, common stock, preferred stock, and warrants. We will issue each unit so that the holder of the unit is also the holder of each security included in the unit. As a result,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187" w:lineRule="exact"/>
        <w:rPr>
          <w:sz w:val="20"/>
          <w:szCs w:val="20"/>
          <w:color w:val="auto"/>
        </w:rPr>
      </w:pPr>
    </w:p>
    <w:p>
      <w:pPr>
        <w:ind w:left="200" w:right="120" w:firstLine="992"/>
        <w:spacing w:after="0" w:line="279" w:lineRule="auto"/>
        <w:rPr>
          <w:sz w:val="20"/>
          <w:szCs w:val="20"/>
          <w:color w:val="auto"/>
        </w:rPr>
      </w:pPr>
      <w:r>
        <w:rPr>
          <w:rFonts w:ascii="Arial" w:cs="Arial" w:eastAsia="Arial" w:hAnsi="Arial"/>
          <w:sz w:val="17"/>
          <w:szCs w:val="17"/>
          <w:color w:val="auto"/>
        </w:rPr>
        <w:t>The following description is a summary of selected provisions relating to units that we may offer. The summary is not complete. When units are offered in the future, a prospectus supplement, or other offering material as applicable, will explain the particular terms of those securities and the extent to which these general provisions may apply. The specific terms of the units as described in a prospectus supplement will supplement and, if applicable, may modify or replace the general terms described in this section.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This summary and any description of units in the applicable prospectus supplement or other offering material is subject to and is qualified in its entirety by reference to the unit agreement and, if applicable, collateral arrangements and depositary arrangements relating to such units. We will file these documents with the SEC for incorporation by reference into this prospectus. See “Where You Can Find More Information” and “Incorporation by Reference” for information on how to obtain a copy of a document when it is filed.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applicable prospectus supplement or other offering material may describe:</w:t>
      </w:r>
    </w:p>
    <w:p>
      <w:pPr>
        <w:spacing w:after="0" w:line="131" w:lineRule="exact"/>
        <w:rPr>
          <w:sz w:val="20"/>
          <w:szCs w:val="20"/>
          <w:color w:val="auto"/>
        </w:rPr>
      </w:pPr>
    </w:p>
    <w:p>
      <w:pPr>
        <w:ind w:left="1620" w:right="240" w:hanging="322"/>
        <w:spacing w:after="0" w:line="277" w:lineRule="auto"/>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75" w:lineRule="exact"/>
        <w:rPr>
          <w:rFonts w:ascii="Arial" w:cs="Arial" w:eastAsia="Arial" w:hAnsi="Arial"/>
          <w:sz w:val="18"/>
          <w:szCs w:val="18"/>
          <w:color w:val="auto"/>
        </w:rPr>
      </w:pPr>
    </w:p>
    <w:p>
      <w:pPr>
        <w:ind w:left="1620" w:hanging="322"/>
        <w:spacing w:after="0"/>
        <w:tabs>
          <w:tab w:leader="none" w:pos="1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provisions for the issuance, payment, settlement, transfer, or exchange of the units or of the securities composing the units;</w:t>
      </w:r>
    </w:p>
    <w:p>
      <w:pPr>
        <w:spacing w:after="0" w:line="153" w:lineRule="exact"/>
        <w:rPr>
          <w:rFonts w:ascii="Arial" w:cs="Arial" w:eastAsia="Arial" w:hAnsi="Arial"/>
          <w:sz w:val="16"/>
          <w:szCs w:val="16"/>
          <w:color w:val="auto"/>
        </w:rPr>
      </w:pPr>
    </w:p>
    <w:p>
      <w:pPr>
        <w:ind w:left="1620" w:hanging="322"/>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units will be issued in fully registered or global form; and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units.</w:t>
      </w:r>
    </w:p>
    <w:p>
      <w:pPr>
        <w:spacing w:after="0" w:line="225" w:lineRule="exact"/>
        <w:rPr>
          <w:sz w:val="20"/>
          <w:szCs w:val="20"/>
          <w:color w:val="auto"/>
        </w:rPr>
      </w:pPr>
    </w:p>
    <w:p>
      <w:pPr>
        <w:ind w:left="200" w:right="340" w:firstLine="992"/>
        <w:spacing w:after="0" w:line="264" w:lineRule="auto"/>
        <w:rPr>
          <w:sz w:val="20"/>
          <w:szCs w:val="20"/>
          <w:color w:val="auto"/>
        </w:rPr>
      </w:pPr>
      <w:r>
        <w:rPr>
          <w:rFonts w:ascii="Arial" w:cs="Arial" w:eastAsia="Arial" w:hAnsi="Arial"/>
          <w:sz w:val="18"/>
          <w:szCs w:val="18"/>
          <w:color w:val="auto"/>
        </w:rPr>
        <w:t>The applicable provisions described in this section, as well as those described under “Description of Debt Securities,” “Description of Guarantees,” “Description of Capital Stock” and “Description of Warrants,” will apply to each unit and to each security included in each unit, respectively.</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DESCRIPTION OF RIGHTS</w:t>
      </w:r>
    </w:p>
    <w:p>
      <w:pPr>
        <w:spacing w:after="0" w:line="229" w:lineRule="exact"/>
        <w:rPr>
          <w:sz w:val="20"/>
          <w:szCs w:val="20"/>
          <w:color w:val="auto"/>
        </w:rPr>
      </w:pPr>
    </w:p>
    <w:p>
      <w:pPr>
        <w:ind w:left="200" w:firstLine="992"/>
        <w:spacing w:after="0" w:line="259" w:lineRule="auto"/>
        <w:rPr>
          <w:sz w:val="20"/>
          <w:szCs w:val="20"/>
          <w:color w:val="auto"/>
        </w:rPr>
      </w:pPr>
      <w:r>
        <w:rPr>
          <w:rFonts w:ascii="Arial" w:cs="Arial" w:eastAsia="Arial" w:hAnsi="Arial"/>
          <w:sz w:val="18"/>
          <w:szCs w:val="18"/>
          <w:color w:val="auto"/>
        </w:rPr>
        <w:t>We may from time to time, issue rights to purchase our debt securities, common stock, preferred stock or other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w:t>
      </w:r>
    </w:p>
    <w:p>
      <w:pPr>
        <w:spacing w:after="0" w:line="187" w:lineRule="exact"/>
        <w:rPr>
          <w:sz w:val="20"/>
          <w:szCs w:val="20"/>
          <w:color w:val="auto"/>
        </w:rPr>
      </w:pPr>
    </w:p>
    <w:p>
      <w:pPr>
        <w:ind w:left="200" w:right="80" w:firstLine="992"/>
        <w:spacing w:after="0" w:line="259" w:lineRule="auto"/>
        <w:rPr>
          <w:sz w:val="20"/>
          <w:szCs w:val="20"/>
          <w:color w:val="auto"/>
        </w:rPr>
      </w:pPr>
      <w:r>
        <w:rPr>
          <w:rFonts w:ascii="Arial" w:cs="Arial" w:eastAsia="Arial" w:hAnsi="Arial"/>
          <w:sz w:val="18"/>
          <w:szCs w:val="18"/>
          <w:color w:val="auto"/>
        </w:rPr>
        <w:t>Each series of rights will be issued under a separate rights agreement to be entered into, from time to time, between us and a bank or trust company, as rights agent, all as set forth in a prospectus supplement relating to the particular issue of rights. The rights agent will act solely as an agent of ours in connection with the certificates relating to the rights and will not assume any obligation or relationship of agency or trust for or with any holders of rights certificates or beneficial owners of rights.</w:t>
      </w:r>
    </w:p>
    <w:p>
      <w:pPr>
        <w:spacing w:after="0" w:line="187" w:lineRule="exact"/>
        <w:rPr>
          <w:sz w:val="20"/>
          <w:szCs w:val="20"/>
          <w:color w:val="auto"/>
        </w:rPr>
      </w:pPr>
    </w:p>
    <w:p>
      <w:pPr>
        <w:ind w:left="200" w:right="20" w:firstLine="992"/>
        <w:spacing w:after="0" w:line="279" w:lineRule="auto"/>
        <w:rPr>
          <w:sz w:val="20"/>
          <w:szCs w:val="20"/>
          <w:color w:val="auto"/>
        </w:rPr>
      </w:pPr>
      <w:r>
        <w:rPr>
          <w:rFonts w:ascii="Arial" w:cs="Arial" w:eastAsia="Arial" w:hAnsi="Arial"/>
          <w:sz w:val="17"/>
          <w:szCs w:val="17"/>
          <w:color w:val="auto"/>
        </w:rPr>
        <w:t>The following description is a summary of selected provisions relating to rights that we may offer. The summary is not complete. When rights are offered in the future, a prospectus supplement, or other offering material as applicable, will explain the particular terms of those securities and the extent to which these general provisions may apply. The specific terms of the rights as described in a prospectus supplement will supplement and, if applicable, may modify or replace the general terms described in this section.</w:t>
      </w:r>
    </w:p>
    <w:p>
      <w:pPr>
        <w:spacing w:after="0" w:line="171" w:lineRule="exact"/>
        <w:rPr>
          <w:sz w:val="20"/>
          <w:szCs w:val="20"/>
          <w:color w:val="auto"/>
        </w:rPr>
      </w:pPr>
    </w:p>
    <w:p>
      <w:pPr>
        <w:ind w:left="200" w:right="60" w:firstLine="992"/>
        <w:spacing w:after="0" w:line="259" w:lineRule="auto"/>
        <w:rPr>
          <w:sz w:val="20"/>
          <w:szCs w:val="20"/>
          <w:color w:val="auto"/>
        </w:rPr>
      </w:pPr>
      <w:r>
        <w:rPr>
          <w:rFonts w:ascii="Arial" w:cs="Arial" w:eastAsia="Arial" w:hAnsi="Arial"/>
          <w:sz w:val="18"/>
          <w:szCs w:val="18"/>
          <w:color w:val="auto"/>
        </w:rPr>
        <w:t>This summary and any description of units in the applicable prospectus supplement or other offering material is subject to and is qualified in its entirety by reference to the rights agreement and, if applicable, underwriting or other arrangements relating to such rights. We will file these documents with the SEC for incorporation by reference into this prospectus. See “Where You Can Find More Information” and “Incorporation by Reference” for information on how to obtain a copy of a document when it is filed.</w:t>
      </w:r>
    </w:p>
    <w:p>
      <w:pPr>
        <w:spacing w:after="0" w:line="187" w:lineRule="exact"/>
        <w:rPr>
          <w:sz w:val="20"/>
          <w:szCs w:val="20"/>
          <w:color w:val="auto"/>
        </w:rPr>
      </w:pPr>
    </w:p>
    <w:p>
      <w:pPr>
        <w:ind w:left="1200"/>
        <w:spacing w:after="0"/>
        <w:rPr>
          <w:sz w:val="20"/>
          <w:szCs w:val="20"/>
          <w:color w:val="auto"/>
        </w:rPr>
      </w:pPr>
      <w:r>
        <w:rPr>
          <w:rFonts w:ascii="Arial" w:cs="Arial" w:eastAsia="Arial" w:hAnsi="Arial"/>
          <w:sz w:val="17"/>
          <w:szCs w:val="17"/>
          <w:color w:val="auto"/>
        </w:rPr>
        <w:t>The applicable prospectus supplement will describe the terms of the rights to be issued, including the following where applicable:</w:t>
      </w:r>
    </w:p>
    <w:p>
      <w:pPr>
        <w:spacing w:after="0" w:line="142" w:lineRule="exact"/>
        <w:rPr>
          <w:sz w:val="20"/>
          <w:szCs w:val="20"/>
          <w:color w:val="auto"/>
        </w:rPr>
      </w:pPr>
    </w:p>
    <w:p>
      <w:pPr>
        <w:ind w:left="1620" w:hanging="322"/>
        <w:spacing w:after="0"/>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date for determining the security holders entitled to the rights distribution;</w:t>
      </w:r>
    </w:p>
    <w:p>
      <w:pPr>
        <w:spacing w:after="0" w:line="130" w:lineRule="exact"/>
        <w:rPr>
          <w:rFonts w:ascii="Arial" w:cs="Arial" w:eastAsia="Arial" w:hAnsi="Arial"/>
          <w:sz w:val="18"/>
          <w:szCs w:val="18"/>
          <w:color w:val="auto"/>
        </w:rPr>
      </w:pPr>
    </w:p>
    <w:p>
      <w:pPr>
        <w:ind w:left="1620" w:right="180" w:hanging="322"/>
        <w:spacing w:after="0" w:line="277" w:lineRule="auto"/>
        <w:tabs>
          <w:tab w:leader="none" w:pos="16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aggregate number of rights and the aggregate of amount of debt securities, common shares, preferred shares or other securities purchasable upon exercise of the rights;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80"/>
          </w:cols>
          <w:pgMar w:left="24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620" w:hanging="32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exercise price and any adjustments to such exercise price;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aggregate number of rights being issued;</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if any, on and after which the rights may be transferable separately;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shall commence and the date on which the right shall expire;</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material U.S. federal income tax consequences; and</w:t>
      </w:r>
    </w:p>
    <w:p>
      <w:pPr>
        <w:spacing w:after="0" w:line="130" w:lineRule="exact"/>
        <w:rPr>
          <w:rFonts w:ascii="Arial" w:cs="Arial" w:eastAsia="Arial" w:hAnsi="Arial"/>
          <w:sz w:val="18"/>
          <w:szCs w:val="18"/>
          <w:color w:val="auto"/>
        </w:rPr>
      </w:pPr>
    </w:p>
    <w:p>
      <w:pPr>
        <w:ind w:left="1620" w:right="80" w:hanging="322"/>
        <w:spacing w:after="0" w:line="277" w:lineRule="auto"/>
        <w:tabs>
          <w:tab w:leader="none" w:pos="16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w:t>
      </w:r>
    </w:p>
    <w:p>
      <w:pPr>
        <w:spacing w:after="0" w:line="170"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If less than all of the rights issued in any rights offering are exercised, we may offer any unsubscribed securities directly to persons other than our security holders, to or through agents, underwriters or dealer or through a combination of such methods, including pursuant to standby arrangements, as described in the applicable prospectus supplement.</w:t>
      </w:r>
    </w:p>
    <w:p>
      <w:pPr>
        <w:spacing w:after="0" w:line="11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40"/>
          </w:cols>
          <w:pgMar w:left="240" w:top="459" w:right="6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We may sell the securities described in this prospectus from time to time in one or more transactions:</w:t>
      </w:r>
    </w:p>
    <w:p>
      <w:pPr>
        <w:spacing w:after="0" w:line="131" w:lineRule="exact"/>
        <w:rPr>
          <w:sz w:val="20"/>
          <w:szCs w:val="20"/>
          <w:color w:val="auto"/>
        </w:rPr>
      </w:pPr>
    </w:p>
    <w:p>
      <w:pPr>
        <w:ind w:left="1620" w:hanging="32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purchasers directly;</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to underwriters for public offering and sale by them;</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 or</w:t>
      </w:r>
    </w:p>
    <w:p>
      <w:pPr>
        <w:spacing w:after="0" w:line="130" w:lineRule="exact"/>
        <w:rPr>
          <w:rFonts w:ascii="Arial" w:cs="Arial" w:eastAsia="Arial" w:hAnsi="Arial"/>
          <w:sz w:val="18"/>
          <w:szCs w:val="18"/>
          <w:color w:val="auto"/>
        </w:rPr>
      </w:pPr>
    </w:p>
    <w:p>
      <w:pPr>
        <w:ind w:left="1620" w:hanging="322"/>
        <w:spacing w:after="0"/>
        <w:tabs>
          <w:tab w:leader="none" w:pos="16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 combination of any of the foregoing methods of sale.</w:t>
      </w:r>
    </w:p>
    <w:p>
      <w:pPr>
        <w:spacing w:after="0" w:line="225" w:lineRule="exact"/>
        <w:rPr>
          <w:sz w:val="20"/>
          <w:szCs w:val="20"/>
          <w:color w:val="auto"/>
        </w:rPr>
      </w:pPr>
    </w:p>
    <w:p>
      <w:pPr>
        <w:ind w:left="200" w:right="320" w:firstLine="992"/>
        <w:spacing w:after="0" w:line="264" w:lineRule="auto"/>
        <w:rPr>
          <w:sz w:val="20"/>
          <w:szCs w:val="20"/>
          <w:color w:val="auto"/>
        </w:rPr>
      </w:pPr>
      <w:r>
        <w:rPr>
          <w:rFonts w:ascii="Arial" w:cs="Arial" w:eastAsia="Arial" w:hAnsi="Arial"/>
          <w:sz w:val="18"/>
          <w:szCs w:val="18"/>
          <w:color w:val="auto"/>
        </w:rPr>
        <w:t>We may sell the securities directly to institutional investors or others who may be deemed to be underwriters within the meaning of the Securities Act, with respect to any resale of the securities. A prospectus supplement will describe the terms of any sale of securities we are offering hereunder. Direct sales may be arranged by a securities broker-dealer or other financial intermediary.</w:t>
      </w:r>
    </w:p>
    <w:p>
      <w:pPr>
        <w:spacing w:after="0" w:line="181" w:lineRule="exact"/>
        <w:rPr>
          <w:sz w:val="20"/>
          <w:szCs w:val="20"/>
          <w:color w:val="auto"/>
        </w:rPr>
      </w:pPr>
    </w:p>
    <w:p>
      <w:pPr>
        <w:ind w:left="200" w:right="20" w:firstLine="992"/>
        <w:spacing w:after="0" w:line="257" w:lineRule="auto"/>
        <w:rPr>
          <w:sz w:val="20"/>
          <w:szCs w:val="20"/>
          <w:color w:val="auto"/>
        </w:rPr>
      </w:pPr>
      <w:r>
        <w:rPr>
          <w:rFonts w:ascii="Arial" w:cs="Arial" w:eastAsia="Arial" w:hAnsi="Arial"/>
          <w:sz w:val="18"/>
          <w:szCs w:val="18"/>
          <w:color w:val="auto"/>
        </w:rPr>
        <w:t>The applicable prospectus supplement will name any underwriter involved in a sale of securities. Underwriters may offer and sell securities at a fixed price or prices, which may be changed, or from time to time at market prices or at negotiated prices. Underwriters may be deemed to have received compensation from us from sales of securities in the form of underwriting discounts or commissions and may also receive commissions from purchasers of securities for whom they may act as agent. Underwriters may be involved in any “at the market” offering of securities by or on our behalf.</w:t>
      </w:r>
    </w:p>
    <w:p>
      <w:pPr>
        <w:spacing w:after="0" w:line="188" w:lineRule="exact"/>
        <w:rPr>
          <w:sz w:val="20"/>
          <w:szCs w:val="20"/>
          <w:color w:val="auto"/>
        </w:rPr>
      </w:pPr>
    </w:p>
    <w:p>
      <w:pPr>
        <w:ind w:left="200" w:firstLine="992"/>
        <w:spacing w:after="0" w:line="264" w:lineRule="auto"/>
        <w:rPr>
          <w:sz w:val="20"/>
          <w:szCs w:val="20"/>
          <w:color w:val="auto"/>
        </w:rPr>
      </w:pPr>
      <w:r>
        <w:rPr>
          <w:rFonts w:ascii="Arial" w:cs="Arial" w:eastAsia="Arial" w:hAnsi="Arial"/>
          <w:sz w:val="18"/>
          <w:szCs w:val="18"/>
          <w:color w:val="auto"/>
        </w:rPr>
        <w:t>Underwriters may sell securities to or through dealers, and such dealers may receive compensation in the form of discounts, concessions or commissions from the underwriters and/or commissions (which may be changed from time to time) from the purchasers for whom they may act as agent.</w:t>
      </w:r>
    </w:p>
    <w:p>
      <w:pPr>
        <w:spacing w:after="0" w:line="181" w:lineRule="exact"/>
        <w:rPr>
          <w:sz w:val="20"/>
          <w:szCs w:val="20"/>
          <w:color w:val="auto"/>
        </w:rPr>
      </w:pPr>
    </w:p>
    <w:p>
      <w:pPr>
        <w:ind w:left="200" w:right="500" w:firstLine="992"/>
        <w:spacing w:after="0" w:line="308" w:lineRule="auto"/>
        <w:rPr>
          <w:sz w:val="20"/>
          <w:szCs w:val="20"/>
          <w:color w:val="auto"/>
        </w:rPr>
      </w:pPr>
      <w:r>
        <w:rPr>
          <w:rFonts w:ascii="Arial" w:cs="Arial" w:eastAsia="Arial" w:hAnsi="Arial"/>
          <w:sz w:val="17"/>
          <w:szCs w:val="17"/>
          <w:color w:val="auto"/>
        </w:rPr>
        <w:t>Unless we state otherwise in the applicable prospectus supplement, the obligations of any underwriters to purchase securities will be subject to certain conditions precedent, and the underwriters will be obligated to purchase all the securities if any are purchased.</w:t>
      </w:r>
    </w:p>
    <w:p>
      <w:pPr>
        <w:spacing w:after="0" w:line="147" w:lineRule="exact"/>
        <w:rPr>
          <w:sz w:val="20"/>
          <w:szCs w:val="20"/>
          <w:color w:val="auto"/>
        </w:rPr>
      </w:pPr>
    </w:p>
    <w:p>
      <w:pPr>
        <w:jc w:val="both"/>
        <w:ind w:left="200" w:right="520" w:firstLine="992"/>
        <w:spacing w:after="0" w:line="264" w:lineRule="auto"/>
        <w:rPr>
          <w:sz w:val="20"/>
          <w:szCs w:val="20"/>
          <w:color w:val="auto"/>
        </w:rPr>
      </w:pPr>
      <w:r>
        <w:rPr>
          <w:rFonts w:ascii="Arial" w:cs="Arial" w:eastAsia="Arial" w:hAnsi="Arial"/>
          <w:sz w:val="18"/>
          <w:szCs w:val="18"/>
          <w:color w:val="auto"/>
        </w:rPr>
        <w:t>The applicable prospectus supplement will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w:t>
      </w:r>
    </w:p>
    <w:p>
      <w:pPr>
        <w:spacing w:after="0" w:line="181" w:lineRule="exact"/>
        <w:rPr>
          <w:sz w:val="20"/>
          <w:szCs w:val="20"/>
          <w:color w:val="auto"/>
        </w:rPr>
      </w:pPr>
    </w:p>
    <w:p>
      <w:pPr>
        <w:ind w:left="200" w:right="300" w:firstLine="992"/>
        <w:spacing w:after="0" w:line="264" w:lineRule="auto"/>
        <w:rPr>
          <w:sz w:val="20"/>
          <w:szCs w:val="20"/>
          <w:color w:val="auto"/>
        </w:rPr>
      </w:pPr>
      <w:r>
        <w:rPr>
          <w:rFonts w:ascii="Arial" w:cs="Arial" w:eastAsia="Arial" w:hAnsi="Arial"/>
          <w:sz w:val="18"/>
          <w:szCs w:val="18"/>
          <w:color w:val="auto"/>
        </w:rPr>
        <w:t>We will name any agent involved in a sale of securities, as well as any commissions payable to such agent, in a prospectus supplement. Unless we state otherwise in the applicable prospectus supplement, any such agent will be acting on a reasonable efforts basis for the period of its appointment.</w:t>
      </w:r>
    </w:p>
    <w:p>
      <w:pPr>
        <w:spacing w:after="0" w:line="181" w:lineRule="exact"/>
        <w:rPr>
          <w:sz w:val="20"/>
          <w:szCs w:val="20"/>
          <w:color w:val="auto"/>
        </w:rPr>
      </w:pPr>
    </w:p>
    <w:p>
      <w:pPr>
        <w:jc w:val="both"/>
        <w:ind w:left="200" w:right="80" w:firstLine="992"/>
        <w:spacing w:after="0" w:line="264" w:lineRule="auto"/>
        <w:rPr>
          <w:sz w:val="20"/>
          <w:szCs w:val="20"/>
          <w:color w:val="auto"/>
        </w:rPr>
      </w:pPr>
      <w:r>
        <w:rPr>
          <w:rFonts w:ascii="Arial" w:cs="Arial" w:eastAsia="Arial" w:hAnsi="Arial"/>
          <w:sz w:val="18"/>
          <w:szCs w:val="18"/>
          <w:color w:val="auto"/>
        </w:rPr>
        <w:t>If a dealer is utilized in the sale of the securities being offered pursuant to this prospectus, we and/or one or more selling stockholders will sell the securities to the dealer, as principal. The dealer may then resell the securities to the public at varying prices to be determined by the dealer at the time of resale.</w:t>
      </w:r>
    </w:p>
    <w:p>
      <w:pPr>
        <w:spacing w:after="0" w:line="181" w:lineRule="exact"/>
        <w:rPr>
          <w:sz w:val="20"/>
          <w:szCs w:val="20"/>
          <w:color w:val="auto"/>
        </w:rPr>
      </w:pPr>
    </w:p>
    <w:p>
      <w:pPr>
        <w:ind w:left="200" w:right="20" w:firstLine="992"/>
        <w:spacing w:after="0" w:line="279" w:lineRule="auto"/>
        <w:rPr>
          <w:sz w:val="20"/>
          <w:szCs w:val="20"/>
          <w:color w:val="auto"/>
        </w:rPr>
      </w:pPr>
      <w:r>
        <w:rPr>
          <w:rFonts w:ascii="Arial" w:cs="Arial" w:eastAsia="Arial" w:hAnsi="Arial"/>
          <w:sz w:val="17"/>
          <w:szCs w:val="17"/>
          <w:color w:val="auto"/>
        </w:rPr>
        <w:t>Underwriters, dealers and agents participating in a sale of the securities may be deemed to be underwriters as defined in the Securities Act, and any discounts and commissions received by them and any profit realized by them on resale of the securities may be deemed to be underwriting discounts and commissions, under the Securities Act. We may have agreements with underwriters, dealers and agents to indemnify them against certain civil liabilities, including liabilities under the Securities Act, and to reimburse them for certain expenses.</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 xml:space="preserve">We file annual, quarterly and current reports, proxy statements and other information with the SEC. The public may read and copy any materials filed with the SEC at the SEC’s Public Reference Room at 100 F Street, N.E., Washington, D.C. 20549. The public may obtain information on the operation of the Public Reference Room by calling the SEC at 1-800-SEC-0330. Also, the SEC maintains an Internet web site that contains reports, proxy and information statements, and other information regarding issuers, including us, that file electronically with the SEC. The public can obtain any documents that we file electronically with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You may also obtain our filings through the New York Stock Exchange, 20 Broad Street, New York, New York 10005, on which our common stock is listed.</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also make available, free of charge, on or through our Internet web site (</w:t>
      </w:r>
      <w:r>
        <w:rPr>
          <w:rFonts w:ascii="Arial" w:cs="Arial" w:eastAsia="Arial" w:hAnsi="Arial"/>
          <w:sz w:val="18"/>
          <w:szCs w:val="18"/>
          <w:i w:val="1"/>
          <w:iCs w:val="1"/>
          <w:color w:val="auto"/>
        </w:rPr>
        <w:t>https://www.swgasholdings.com</w:t>
      </w:r>
      <w:r>
        <w:rPr>
          <w:rFonts w:ascii="Arial" w:cs="Arial" w:eastAsia="Arial" w:hAnsi="Arial"/>
          <w:sz w:val="18"/>
          <w:szCs w:val="18"/>
          <w:color w:val="auto"/>
        </w:rPr>
        <w:t>) our Annual Reports on Form 10-K, Quarterly Reports on Form 10-Q, Current Reports on Form 8-K, Proxy Statements on Schedule 14A and, if applicable amendments to those reports filed or furnished pursuant to Section 13(a) of the Exchange Act, as soon as reasonably practicable after we electronically file such material with, or furnish it to, the SEC. Please note, however, that we have not incorporated any other information by reference from our Internet web site, other than the documents listed under the heading “Incorporation by Reference.”</w:t>
      </w:r>
    </w:p>
    <w:p>
      <w:pPr>
        <w:spacing w:after="0" w:line="18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have filed with the SEC a registration statement on Form S-3 relating to the securities covered by this prospectus. This prospectus is a part of the registration statement and does not contain all the information in the registration statement. Whenever a reference is made in this prospectus to a contract or other document of ours, the reference is only a summary and you should refer to the exhibits that are a part of the registration statement for a copy of the contract or other document. You may review a copy of the registration statement and the documents incorporated by reference herein at the SEC’s Public Reference Room in Washington, D.C., as well as through the SEC’s Internet web site referenced above.</w:t>
      </w:r>
    </w:p>
    <w:p>
      <w:pPr>
        <w:spacing w:after="0" w:line="37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INCORPORATION BY REFERENCE</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SEC allows us to “incorporate by reference” into this prospectus the information in other documents that we file with it, which means that we can disclose important information to you by referring you to those documents. The information that we incorporate by reference is considered to be a part of this prospectus.</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Any reports that we file with the SEC on or after the date of this prospectus and before the date that the offering of the securities is terminated will automatically update and, where applicable, supersede any information contained in this prospectus or incorporated by reference into this prospectus. This means that you must look at all of the SEC filings that we incorporate by reference to determine if any of the statements in this prospectus or in any documents previously incorporated by reference into this prospectus have been modified or superseded. We specifically incorporate by reference into this prospectus the following documents filed with the SEC (other than, in each case, documents or information deemed furnished and not filed in accordance with SEC rules, including pursuant to Item 2.02 or Item 7.01 of Form 8-K, and no such information shall be deemed specifically incorporated by reference hereby):</w:t>
      </w:r>
    </w:p>
    <w:p>
      <w:pPr>
        <w:spacing w:after="0" w:line="95" w:lineRule="exact"/>
        <w:rPr>
          <w:sz w:val="20"/>
          <w:szCs w:val="20"/>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Predecessor’s Annual Report on </w:t>
      </w:r>
      <w:hyperlink r:id="rId83">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2016;</w:t>
      </w:r>
    </w:p>
    <w:p>
      <w:pPr>
        <w:spacing w:after="0" w:line="130" w:lineRule="exact"/>
        <w:rPr>
          <w:rFonts w:ascii="Arial" w:cs="Arial" w:eastAsia="Arial" w:hAnsi="Arial"/>
          <w:sz w:val="18"/>
          <w:szCs w:val="18"/>
          <w:color w:val="auto"/>
        </w:rPr>
      </w:pPr>
    </w:p>
    <w:p>
      <w:pPr>
        <w:ind w:left="1180" w:hanging="436"/>
        <w:spacing w:after="0"/>
        <w:tabs>
          <w:tab w:leader="none" w:pos="11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Quarterly Reports on Form 10-Q for the Company’s quarters ended </w:t>
      </w:r>
      <w:hyperlink r:id="rId84">
        <w:r>
          <w:rPr>
            <w:rFonts w:ascii="Arial" w:cs="Arial" w:eastAsia="Arial" w:hAnsi="Arial"/>
            <w:sz w:val="18"/>
            <w:szCs w:val="18"/>
            <w:u w:val="single" w:color="auto"/>
            <w:color w:val="0000EE"/>
          </w:rPr>
          <w:t>March 31, 2017</w:t>
        </w:r>
      </w:hyperlink>
      <w:r>
        <w:rPr>
          <w:rFonts w:ascii="Arial" w:cs="Arial" w:eastAsia="Arial" w:hAnsi="Arial"/>
          <w:sz w:val="18"/>
          <w:szCs w:val="18"/>
          <w:color w:val="auto"/>
        </w:rPr>
        <w:t xml:space="preserve">, </w:t>
      </w:r>
      <w:hyperlink r:id="rId85">
        <w:r>
          <w:rPr>
            <w:rFonts w:ascii="Arial" w:cs="Arial" w:eastAsia="Arial" w:hAnsi="Arial"/>
            <w:sz w:val="18"/>
            <w:szCs w:val="18"/>
            <w:u w:val="single" w:color="auto"/>
            <w:color w:val="0000EE"/>
          </w:rPr>
          <w:t>June 30,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86">
        <w:r>
          <w:rPr>
            <w:rFonts w:ascii="Arial" w:cs="Arial" w:eastAsia="Arial" w:hAnsi="Arial"/>
            <w:sz w:val="18"/>
            <w:szCs w:val="18"/>
            <w:u w:val="single" w:color="auto"/>
            <w:color w:val="0000EE"/>
          </w:rPr>
          <w:t>September 30, 2017</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180" w:right="680" w:hanging="436"/>
        <w:spacing w:after="0" w:line="308" w:lineRule="auto"/>
        <w:tabs>
          <w:tab w:leader="none" w:pos="11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portions of our </w:t>
      </w:r>
      <w:hyperlink r:id="rId87">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on Schedule 14A (filed on March 20, 2017) that were specifically incorporated by reference into Predecessor’s Annual Report on Form 10-K for the fiscal year ended December 31, 2016;</w:t>
      </w:r>
    </w:p>
    <w:p>
      <w:pPr>
        <w:spacing w:after="0" w:line="79" w:lineRule="exact"/>
        <w:rPr>
          <w:rFonts w:ascii="Arial" w:cs="Arial" w:eastAsia="Arial" w:hAnsi="Arial"/>
          <w:sz w:val="18"/>
          <w:szCs w:val="18"/>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80" w:hanging="436"/>
        <w:spacing w:after="0" w:line="277" w:lineRule="auto"/>
        <w:tabs>
          <w:tab w:leader="none" w:pos="1180" w:val="left"/>
        </w:tabs>
        <w:numPr>
          <w:ilvl w:val="0"/>
          <w:numId w:val="48"/>
        </w:numPr>
        <w:rPr>
          <w:rFonts w:ascii="Arial" w:cs="Arial" w:eastAsia="Arial" w:hAnsi="Arial"/>
          <w:sz w:val="18"/>
          <w:szCs w:val="18"/>
          <w:color w:val="0000EE"/>
        </w:rPr>
      </w:pPr>
      <w:r>
        <w:rPr>
          <w:rFonts w:ascii="Arial" w:cs="Arial" w:eastAsia="Arial" w:hAnsi="Arial"/>
          <w:sz w:val="18"/>
          <w:szCs w:val="18"/>
          <w:color w:val="auto"/>
        </w:rPr>
        <w:t xml:space="preserve">Current Reports on Form 8-K filed on </w:t>
      </w:r>
      <w:hyperlink r:id="rId89">
        <w:r>
          <w:rPr>
            <w:rFonts w:ascii="Arial" w:cs="Arial" w:eastAsia="Arial" w:hAnsi="Arial"/>
            <w:sz w:val="18"/>
            <w:szCs w:val="18"/>
            <w:u w:val="single" w:color="auto"/>
            <w:color w:val="0000EE"/>
          </w:rPr>
          <w:t>January 3, 2017</w:t>
        </w:r>
      </w:hyperlink>
      <w:r>
        <w:rPr>
          <w:rFonts w:ascii="Arial" w:cs="Arial" w:eastAsia="Arial" w:hAnsi="Arial"/>
          <w:sz w:val="18"/>
          <w:szCs w:val="18"/>
          <w:color w:val="auto"/>
        </w:rPr>
        <w:t xml:space="preserve">, </w:t>
      </w:r>
      <w:hyperlink r:id="rId90">
        <w:r>
          <w:rPr>
            <w:rFonts w:ascii="Arial" w:cs="Arial" w:eastAsia="Arial" w:hAnsi="Arial"/>
            <w:sz w:val="18"/>
            <w:szCs w:val="18"/>
            <w:u w:val="single" w:color="auto"/>
            <w:color w:val="0000EE"/>
          </w:rPr>
          <w:t>February 15, 2017</w:t>
        </w:r>
      </w:hyperlink>
      <w:r>
        <w:rPr>
          <w:rFonts w:ascii="Arial" w:cs="Arial" w:eastAsia="Arial" w:hAnsi="Arial"/>
          <w:sz w:val="18"/>
          <w:szCs w:val="18"/>
          <w:color w:val="auto"/>
        </w:rPr>
        <w:t xml:space="preserve">, </w:t>
      </w:r>
      <w:hyperlink r:id="rId91">
        <w:r>
          <w:rPr>
            <w:rFonts w:ascii="Arial" w:cs="Arial" w:eastAsia="Arial" w:hAnsi="Arial"/>
            <w:sz w:val="18"/>
            <w:szCs w:val="18"/>
            <w:u w:val="single" w:color="auto"/>
            <w:color w:val="0000EE"/>
          </w:rPr>
          <w:t>February 24, 2017</w:t>
        </w:r>
      </w:hyperlink>
      <w:r>
        <w:rPr>
          <w:rFonts w:ascii="Arial" w:cs="Arial" w:eastAsia="Arial" w:hAnsi="Arial"/>
          <w:sz w:val="18"/>
          <w:szCs w:val="18"/>
          <w:color w:val="auto"/>
        </w:rPr>
        <w:t xml:space="preserve">, </w:t>
      </w:r>
      <w:hyperlink r:id="rId92">
        <w:r>
          <w:rPr>
            <w:rFonts w:ascii="Arial" w:cs="Arial" w:eastAsia="Arial" w:hAnsi="Arial"/>
            <w:sz w:val="18"/>
            <w:szCs w:val="18"/>
            <w:u w:val="single" w:color="auto"/>
            <w:color w:val="0000EE"/>
          </w:rPr>
          <w:t>March 9, 2017</w:t>
        </w:r>
      </w:hyperlink>
      <w:r>
        <w:rPr>
          <w:rFonts w:ascii="Arial" w:cs="Arial" w:eastAsia="Arial" w:hAnsi="Arial"/>
          <w:sz w:val="18"/>
          <w:szCs w:val="18"/>
          <w:color w:val="auto"/>
        </w:rPr>
        <w:t xml:space="preserve">, </w:t>
      </w:r>
      <w:hyperlink r:id="rId93">
        <w:r>
          <w:rPr>
            <w:rFonts w:ascii="Arial" w:cs="Arial" w:eastAsia="Arial" w:hAnsi="Arial"/>
            <w:sz w:val="18"/>
            <w:szCs w:val="18"/>
            <w:u w:val="single" w:color="auto"/>
            <w:color w:val="0000EE"/>
          </w:rPr>
          <w:t>March 31, 2017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(2 reports), </w:t>
      </w:r>
      <w:hyperlink r:id="rId94">
        <w:r>
          <w:rPr>
            <w:rFonts w:ascii="Arial" w:cs="Arial" w:eastAsia="Arial" w:hAnsi="Arial"/>
            <w:sz w:val="18"/>
            <w:szCs w:val="18"/>
            <w:u w:val="single" w:color="auto"/>
            <w:color w:val="0000EE"/>
          </w:rPr>
          <w:t>April 10, 2017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5">
        <w:r>
          <w:rPr>
            <w:rFonts w:ascii="Arial" w:cs="Arial" w:eastAsia="Arial" w:hAnsi="Arial"/>
            <w:sz w:val="18"/>
            <w:szCs w:val="18"/>
            <w:u w:val="single" w:color="auto"/>
            <w:color w:val="0000EE"/>
          </w:rPr>
          <w:t>May 10, 2017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6">
        <w:r>
          <w:rPr>
            <w:rFonts w:ascii="Arial" w:cs="Arial" w:eastAsia="Arial" w:hAnsi="Arial"/>
            <w:sz w:val="18"/>
            <w:szCs w:val="18"/>
            <w:u w:val="single" w:color="auto"/>
            <w:color w:val="0000EE"/>
          </w:rPr>
          <w:t>October 17, 2017</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97">
        <w:r>
          <w:rPr>
            <w:rFonts w:ascii="Arial" w:cs="Arial" w:eastAsia="Arial" w:hAnsi="Arial"/>
            <w:sz w:val="18"/>
            <w:szCs w:val="18"/>
            <w:u w:val="single" w:color="auto"/>
            <w:color w:val="0000EE"/>
          </w:rPr>
          <w:t xml:space="preserve">November 2, 2017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98">
        <w:r>
          <w:rPr>
            <w:rFonts w:ascii="Arial" w:cs="Arial" w:eastAsia="Arial" w:hAnsi="Arial"/>
            <w:sz w:val="18"/>
            <w:szCs w:val="18"/>
            <w:u w:val="single" w:color="auto"/>
            <w:color w:val="0000EE"/>
          </w:rPr>
          <w:t>November 7, 2017</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ind w:left="1180" w:right="400" w:hanging="436"/>
        <w:spacing w:after="0" w:line="277" w:lineRule="auto"/>
        <w:tabs>
          <w:tab w:leader="none" w:pos="1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future filings that we make with the SEC under Sections 13(a), 13(c), 14 or 15(d) of the Exchange Act on or after the date of this prospectus until the termination of the offering of the securities.</w:t>
      </w:r>
    </w:p>
    <w:p>
      <w:pPr>
        <w:spacing w:after="0" w:line="170" w:lineRule="exact"/>
        <w:rPr>
          <w:rFonts w:ascii="Arial" w:cs="Arial" w:eastAsia="Arial" w:hAnsi="Arial"/>
          <w:sz w:val="18"/>
          <w:szCs w:val="18"/>
          <w:color w:val="0000EE"/>
        </w:rPr>
      </w:pPr>
    </w:p>
    <w:p>
      <w:pPr>
        <w:jc w:val="both"/>
        <w:ind w:left="200" w:right="60" w:firstLine="441"/>
        <w:spacing w:after="0" w:line="264" w:lineRule="auto"/>
        <w:rPr>
          <w:sz w:val="20"/>
          <w:szCs w:val="20"/>
          <w:color w:val="auto"/>
        </w:rPr>
      </w:pPr>
      <w:r>
        <w:rPr>
          <w:rFonts w:ascii="Arial" w:cs="Arial" w:eastAsia="Arial" w:hAnsi="Arial"/>
          <w:sz w:val="18"/>
          <w:szCs w:val="18"/>
          <w:color w:val="auto"/>
        </w:rPr>
        <w:t>You may obtain a copy of any or all of the documents referred to above which have been or may be incorporated by reference into this prospectus (excluding certain exhibits unless they are specifically incorporated by reference in any such documents) at no cost to you by writing or telephoning us at the following:</w:t>
      </w:r>
    </w:p>
    <w:p>
      <w:pPr>
        <w:spacing w:after="0" w:line="393"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Southwest Gas Holdings, Inc.</w:t>
      </w:r>
    </w:p>
    <w:p>
      <w:pPr>
        <w:spacing w:after="0" w:line="27"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5241 Spring Mountain Road</w:t>
      </w:r>
    </w:p>
    <w:p>
      <w:pPr>
        <w:spacing w:after="0" w:line="9"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P.O. Box 98510</w:t>
      </w:r>
    </w:p>
    <w:p>
      <w:pPr>
        <w:spacing w:after="0" w:line="9"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Las Vegas, Nevada 89193-8510</w:t>
      </w:r>
    </w:p>
    <w:p>
      <w:pPr>
        <w:spacing w:after="0" w:line="9"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Attention: Corporate Secretary</w:t>
      </w:r>
    </w:p>
    <w:p>
      <w:pPr>
        <w:spacing w:after="0" w:line="9"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b w:val="1"/>
          <w:bCs w:val="1"/>
          <w:color w:val="auto"/>
        </w:rPr>
        <w:t>Telephone: (702) 876-7237</w:t>
      </w:r>
    </w:p>
    <w:p>
      <w:pPr>
        <w:spacing w:after="0" w:line="143" w:lineRule="exact"/>
        <w:rPr>
          <w:rFonts w:ascii="Arial" w:cs="Arial" w:eastAsia="Arial" w:hAnsi="Arial"/>
          <w:sz w:val="18"/>
          <w:szCs w:val="18"/>
          <w:color w:val="0000EE"/>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1">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(which is included in Management’s Report on Internal Control over Financial Reporting) incorporated in this prospectus by reference to Southwest Gas Corporation’s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36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validity of the securities to be sold hereunder will be passed upon for us by Morrison &amp; Foerster LLP.</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240" w:top="459" w:right="77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1">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237490</wp:posOffset>
            </wp:positionV>
            <wp:extent cx="699770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1">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297180</wp:posOffset>
            </wp:positionV>
            <wp:extent cx="6997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1283970</wp:posOffset>
            </wp:positionV>
            <wp:extent cx="1792605" cy="9607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3">
                      <a:extLst>
                        <a:ext uri="{28A0092B-C50C-407E-A947-70E740481C1C}"/>
                      </a:extLst>
                    </a:blip>
                    <a:srcRect/>
                    <a:stretch>
                      <a:fillRect/>
                    </a:stretch>
                  </pic:blipFill>
                  <pic:spPr bwMode="auto">
                    <a:xfrm>
                      <a:off x="0" y="0"/>
                      <a:ext cx="1792605" cy="96075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940"/>
        <w:spacing w:after="0"/>
        <w:rPr>
          <w:sz w:val="20"/>
          <w:szCs w:val="20"/>
          <w:color w:val="auto"/>
        </w:rPr>
      </w:pPr>
      <w:r>
        <w:rPr>
          <w:rFonts w:ascii="Arial" w:cs="Arial" w:eastAsia="Arial" w:hAnsi="Arial"/>
          <w:sz w:val="22"/>
          <w:szCs w:val="22"/>
          <w:b w:val="1"/>
          <w:bCs w:val="1"/>
          <w:color w:val="auto"/>
        </w:rPr>
        <w:t>Dividend Reinvestment and Stock Repurchase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88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1924685</wp:posOffset>
            </wp:positionV>
            <wp:extent cx="146621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234315</wp:posOffset>
            </wp:positionV>
            <wp:extent cx="146621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1863725</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1923415</wp:posOffset>
            </wp:positionV>
            <wp:extent cx="699770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699770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2"/>
    </w:lvl>
    <w:lvl w:ilvl="1">
      <w:lvlJc w:val="left"/>
      <w:lvlText w:val="•"/>
      <w:numFmt w:val="bullet"/>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
      <w:numFmt w:val="bullet"/>
      <w:start w:val="1"/>
    </w:lvl>
    <w:lvl w:ilvl="1">
      <w:lvlJc w:val="left"/>
      <w:lvlText w:val="%2."/>
      <w:numFmt w:val="decimal"/>
      <w:start w:val="1"/>
    </w:lvl>
  </w:abstractNum>
  <w:abstractNum w:abstractNumId="7">
    <w:nsid w:val="2CA88611"/>
    <w:multiLevelType w:val="hybridMultilevel"/>
    <w:lvl w:ilvl="0">
      <w:lvlJc w:val="left"/>
      <w:lvlText w:val="%1."/>
      <w:numFmt w:val="decimal"/>
      <w:start w:val="1"/>
    </w:lvl>
  </w:abstractNum>
  <w:abstractNum w:abstractNumId="8">
    <w:nsid w:val="836C40E"/>
    <w:multiLevelType w:val="hybridMultilevel"/>
    <w:lvl w:ilvl="0">
      <w:lvlJc w:val="left"/>
      <w:lvlText w:val="%1."/>
      <w:numFmt w:val="decimal"/>
      <w:start w:val="4"/>
    </w:lvl>
  </w:abstractNum>
  <w:abstractNum w:abstractNumId="9">
    <w:nsid w:val="2901D82"/>
    <w:multiLevelType w:val="hybridMultilevel"/>
    <w:lvl w:ilvl="0">
      <w:lvlJc w:val="left"/>
      <w:lvlText w:val="%1."/>
      <w:numFmt w:val="decimal"/>
      <w:start w:val="5"/>
    </w:lvl>
  </w:abstractNum>
  <w:abstractNum w:abstractNumId="10">
    <w:nsid w:val="3A95F874"/>
    <w:multiLevelType w:val="hybridMultilevel"/>
    <w:lvl w:ilvl="0">
      <w:lvlJc w:val="left"/>
      <w:lvlText w:val="%1."/>
      <w:numFmt w:val="decimal"/>
      <w:start w:val="8"/>
    </w:lvl>
  </w:abstractNum>
  <w:abstractNum w:abstractNumId="11">
    <w:nsid w:val="8138641"/>
    <w:multiLevelType w:val="hybridMultilevel"/>
    <w:lvl w:ilvl="0">
      <w:lvlJc w:val="left"/>
      <w:lvlText w:val="%1."/>
      <w:numFmt w:val="decimal"/>
      <w:start w:val="9"/>
    </w:lvl>
  </w:abstractNum>
  <w:abstractNum w:abstractNumId="12">
    <w:nsid w:val="1E7FF521"/>
    <w:multiLevelType w:val="hybridMultilevel"/>
    <w:lvl w:ilvl="0">
      <w:lvlJc w:val="left"/>
      <w:lvlText w:val="%1."/>
      <w:numFmt w:val="decimal"/>
      <w:start w:val="10"/>
    </w:lvl>
  </w:abstractNum>
  <w:abstractNum w:abstractNumId="13">
    <w:nsid w:val="7C3DBD3D"/>
    <w:multiLevelType w:val="hybridMultilevel"/>
    <w:lvl w:ilvl="0">
      <w:lvlJc w:val="left"/>
      <w:lvlText w:val="%1."/>
      <w:numFmt w:val="decimal"/>
      <w:start w:val="11"/>
    </w:lvl>
  </w:abstractNum>
  <w:abstractNum w:abstractNumId="14">
    <w:nsid w:val="737B8DDC"/>
    <w:multiLevelType w:val="hybridMultilevel"/>
    <w:lvl w:ilvl="0">
      <w:lvlJc w:val="left"/>
      <w:lvlText w:val="%1."/>
      <w:numFmt w:val="decimal"/>
      <w:start w:val="14"/>
    </w:lvl>
  </w:abstractNum>
  <w:abstractNum w:abstractNumId="15">
    <w:nsid w:val="6CEAF087"/>
    <w:multiLevelType w:val="hybridMultilevel"/>
    <w:lvl w:ilvl="0">
      <w:lvlJc w:val="left"/>
      <w:lvlText w:val="%1."/>
      <w:numFmt w:val="decimal"/>
      <w:start w:val="15"/>
    </w:lvl>
  </w:abstractNum>
  <w:abstractNum w:abstractNumId="16">
    <w:nsid w:val="22221A70"/>
    <w:multiLevelType w:val="hybridMultilevel"/>
    <w:lvl w:ilvl="0">
      <w:lvlJc w:val="left"/>
      <w:lvlText w:val="%1."/>
      <w:numFmt w:val="decimal"/>
      <w:start w:val="16"/>
    </w:lvl>
  </w:abstractNum>
  <w:abstractNum w:abstractNumId="17">
    <w:nsid w:val="4516DDE9"/>
    <w:multiLevelType w:val="hybridMultilevel"/>
    <w:lvl w:ilvl="0">
      <w:lvlJc w:val="left"/>
      <w:lvlText w:val="%1."/>
      <w:numFmt w:val="decimal"/>
      <w:start w:val="17"/>
    </w:lvl>
  </w:abstractNum>
  <w:abstractNum w:abstractNumId="18">
    <w:nsid w:val="3006C83E"/>
    <w:multiLevelType w:val="hybridMultilevel"/>
    <w:lvl w:ilvl="0">
      <w:lvlJc w:val="left"/>
      <w:lvlText w:val="%1."/>
      <w:numFmt w:val="decimal"/>
      <w:start w:val="18"/>
    </w:lvl>
  </w:abstractNum>
  <w:abstractNum w:abstractNumId="19">
    <w:nsid w:val="614FD4A1"/>
    <w:multiLevelType w:val="hybridMultilevel"/>
    <w:lvl w:ilvl="0">
      <w:lvlJc w:val="left"/>
      <w:lvlText w:val="%1."/>
      <w:numFmt w:val="decimal"/>
      <w:start w:val="19"/>
    </w:lvl>
  </w:abstractNum>
  <w:abstractNum w:abstractNumId="20">
    <w:nsid w:val="419AC241"/>
    <w:multiLevelType w:val="hybridMultilevel"/>
    <w:lvl w:ilvl="0">
      <w:lvlJc w:val="left"/>
      <w:lvlText w:val="%1."/>
      <w:numFmt w:val="decimal"/>
      <w:start w:val="21"/>
    </w:lvl>
  </w:abstractNum>
  <w:abstractNum w:abstractNumId="21">
    <w:nsid w:val="5577F8E1"/>
    <w:multiLevelType w:val="hybridMultilevel"/>
    <w:lvl w:ilvl="0">
      <w:lvlJc w:val="left"/>
      <w:lvlText w:val="%1."/>
      <w:numFmt w:val="decimal"/>
      <w:start w:val="23"/>
    </w:lvl>
  </w:abstractNum>
  <w:abstractNum w:abstractNumId="22">
    <w:nsid w:val="440BADFC"/>
    <w:multiLevelType w:val="hybridMultilevel"/>
    <w:lvl w:ilvl="0">
      <w:lvlJc w:val="left"/>
      <w:lvlText w:val="%1."/>
      <w:numFmt w:val="decimal"/>
      <w:start w:val="24"/>
    </w:lvl>
  </w:abstractNum>
  <w:abstractNum w:abstractNumId="23">
    <w:nsid w:val="5072367"/>
    <w:multiLevelType w:val="hybridMultilevel"/>
    <w:lvl w:ilvl="0">
      <w:lvlJc w:val="left"/>
      <w:lvlText w:val="%1."/>
      <w:numFmt w:val="decimal"/>
      <w:start w:val="26"/>
    </w:lvl>
  </w:abstractNum>
  <w:abstractNum w:abstractNumId="24">
    <w:nsid w:val="3804823E"/>
    <w:multiLevelType w:val="hybridMultilevel"/>
    <w:lvl w:ilvl="0">
      <w:lvlJc w:val="left"/>
      <w:lvlText w:val="%1."/>
      <w:numFmt w:val="decimal"/>
      <w:start w:val="28"/>
    </w:lvl>
  </w:abstractNum>
  <w:abstractNum w:abstractNumId="25">
    <w:nsid w:val="77465F01"/>
    <w:multiLevelType w:val="hybridMultilevel"/>
    <w:lvl w:ilvl="0">
      <w:lvlJc w:val="left"/>
      <w:lvlText w:val="%1."/>
      <w:numFmt w:val="decimal"/>
      <w:start w:val="31"/>
    </w:lvl>
  </w:abstractNum>
  <w:abstractNum w:abstractNumId="26">
    <w:nsid w:val="7724C67E"/>
    <w:multiLevelType w:val="hybridMultilevel"/>
    <w:lvl w:ilvl="0">
      <w:lvlJc w:val="left"/>
      <w:lvlText w:val="%1."/>
      <w:numFmt w:val="decimal"/>
      <w:start w:val="34"/>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1)"/>
      <w:numFmt w:val="decimal"/>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
      <w:numFmt w:val="bullet"/>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
      <w:numFmt w:val="bullet"/>
      <w:start w:val="1"/>
    </w:lvl>
  </w:abstractNum>
  <w:abstractNum w:abstractNumId="41">
    <w:nsid w:val="57E4CCAF"/>
    <w:multiLevelType w:val="hybridMultilevel"/>
    <w:lvl w:ilvl="0">
      <w:lvlJc w:val="left"/>
      <w:lvlText w:val="•"/>
      <w:numFmt w:val="bullet"/>
      <w:start w:val="1"/>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
      <w:numFmt w:val="bullet"/>
      <w:start w:val="1"/>
    </w:lvl>
  </w:abstractNum>
  <w:abstractNum w:abstractNumId="44">
    <w:nsid w:val="542289EC"/>
    <w:multiLevelType w:val="hybridMultilevel"/>
    <w:lvl w:ilvl="0">
      <w:lvlJc w:val="left"/>
      <w:lvlText w:val="•"/>
      <w:numFmt w:val="bullet"/>
      <w:start w:val="1"/>
    </w:lvl>
  </w:abstractNum>
  <w:abstractNum w:abstractNumId="45">
    <w:nsid w:val="6DE91B18"/>
    <w:multiLevelType w:val="hybridMultilevel"/>
    <w:lvl w:ilvl="0">
      <w:lvlJc w:val="left"/>
      <w:lvlText w:val="•"/>
      <w:numFmt w:val="bullet"/>
      <w:start w:val="1"/>
    </w:lvl>
  </w:abstractNum>
  <w:abstractNum w:abstractNumId="46">
    <w:nsid w:val="38437FDB"/>
    <w:multiLevelType w:val="hybridMultilevel"/>
    <w:lvl w:ilvl="0">
      <w:lvlJc w:val="left"/>
      <w:lvlText w:val="•"/>
      <w:numFmt w:val="bullet"/>
      <w:start w:val="1"/>
    </w:lvl>
  </w:abstractNum>
  <w:abstractNum w:abstractNumId="47">
    <w:nsid w:val="7644A4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jpeg"/><Relationship Id="rId51" Type="http://schemas.openxmlformats.org/officeDocument/2006/relationships/image" Target="media/image34.png"/><Relationship Id="rId52" Type="http://schemas.openxmlformats.org/officeDocument/2006/relationships/image" Target="media/image35.jpeg"/><Relationship Id="rId53" Type="http://schemas.openxmlformats.org/officeDocument/2006/relationships/image" Target="media/image36.jpe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8" Type="http://schemas.openxmlformats.org/officeDocument/2006/relationships/image" Target="media/image66.png"/><Relationship Id="rId99" Type="http://schemas.openxmlformats.org/officeDocument/2006/relationships/image" Target="media/image67.png"/><Relationship Id="rId100" Type="http://schemas.openxmlformats.org/officeDocument/2006/relationships/image" Target="media/image68.png"/><Relationship Id="rId101" Type="http://schemas.openxmlformats.org/officeDocument/2006/relationships/image" Target="media/image69.png"/><Relationship Id="rId102" Type="http://schemas.openxmlformats.org/officeDocument/2006/relationships/image" Target="media/image70.png"/><Relationship Id="rId103" Type="http://schemas.openxmlformats.org/officeDocument/2006/relationships/image" Target="media/image71.jpe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21" Type="http://schemas.openxmlformats.org/officeDocument/2006/relationships/hyperlink" Target="http://www.sec.gov/Archives/edgar/data/92416/000169211519000013/swx12311810k.htm" TargetMode="External"/><Relationship Id="rId22" Type="http://schemas.openxmlformats.org/officeDocument/2006/relationships/hyperlink" Target="http://www.sec.gov/Archives/edgar/data/1692115/000169211519000023/definitiveproxy2019.htm" TargetMode="External"/><Relationship Id="rId23" Type="http://schemas.openxmlformats.org/officeDocument/2006/relationships/hyperlink" Target="http://www.sec.gov/Archives/edgar/data/92416/000169211519000045/swx331201910q.htm" TargetMode="External"/><Relationship Id="rId24" Type="http://schemas.openxmlformats.org/officeDocument/2006/relationships/hyperlink" Target="http://www.sec.gov/Archives/edgar/data/92416/000169211519000062/swx630201910q.htm" TargetMode="External"/><Relationship Id="rId25" Type="http://schemas.openxmlformats.org/officeDocument/2006/relationships/hyperlink" Target="http://www.sec.gov/Archives/edgar/data/92416/000169211519000004/form8-kdividend022619.htm" TargetMode="External"/><Relationship Id="rId26" Type="http://schemas.openxmlformats.org/officeDocument/2006/relationships/hyperlink" Target="http://www.sec.gov/Archives/edgar/data/1692115/000119312519061163/d717686d8k.htm" TargetMode="External"/><Relationship Id="rId27" Type="http://schemas.openxmlformats.org/officeDocument/2006/relationships/hyperlink" Target="http://www.sec.gov/Archives/edgar/data/1692115/000169211519000034/a8-khannemanretirementv1.htm" TargetMode="External"/><Relationship Id="rId28" Type="http://schemas.openxmlformats.org/officeDocument/2006/relationships/hyperlink" Target="http://www.sec.gov/Archives/edgar/data/1692115/000169211519000038/a8-k5x7x19.htm" TargetMode="External"/><Relationship Id="rId29" Type="http://schemas.openxmlformats.org/officeDocument/2006/relationships/hyperlink" Target="http://www.sec.gov/Archives/edgar/data/92416/000119312519162792/d756014d8k.htm" TargetMode="External"/><Relationship Id="rId30" Type="http://schemas.openxmlformats.org/officeDocument/2006/relationships/hyperlink" Target="http://www.sec.gov/Archives/edgar/data/1692115/000119312519250669/d745199d8k12b.htm" TargetMode="External"/><Relationship Id="rId83" Type="http://schemas.openxmlformats.org/officeDocument/2006/relationships/hyperlink" Target="http://www.sec.gov/Archives/edgar/data/92416/000119312517062419/d324082d10k.htm" TargetMode="External"/><Relationship Id="rId84" Type="http://schemas.openxmlformats.org/officeDocument/2006/relationships/hyperlink" Target="http://www.sec.gov/Archives/edgar/data/92416/000119312517164213/d342968d10q.htm" TargetMode="External"/><Relationship Id="rId85" Type="http://schemas.openxmlformats.org/officeDocument/2006/relationships/hyperlink" Target="http://www.sec.gov/Archives/edgar/data/92416/000119312517251363/d401099d10q.htm" TargetMode="External"/><Relationship Id="rId86" Type="http://schemas.openxmlformats.org/officeDocument/2006/relationships/hyperlink" Target="http://www.sec.gov/Archives/edgar/data/92416/000119312517335180/d470407d10q.htm" TargetMode="External"/><Relationship Id="rId87" Type="http://schemas.openxmlformats.org/officeDocument/2006/relationships/hyperlink" Target="http://www.sec.gov/Archives/edgar/data/1692115/000119312517087757/d322298dprer14a.htm" TargetMode="External"/><Relationship Id="rId89" Type="http://schemas.openxmlformats.org/officeDocument/2006/relationships/hyperlink" Target="http://www.sec.gov/Archives/edgar/data/1692115/000119312517000274/d310937d8k12b.htm" TargetMode="External"/><Relationship Id="rId90" Type="http://schemas.openxmlformats.org/officeDocument/2006/relationships/hyperlink" Target="http://www.sec.gov/Archives/edgar/data/1692115/000169211517000008/form8k21417.htm" TargetMode="External"/><Relationship Id="rId91" Type="http://schemas.openxmlformats.org/officeDocument/2006/relationships/hyperlink" Target="http://www.sec.gov/Archives/edgar/data/92416/000169211517000014/form8-k22317.htm" TargetMode="External"/><Relationship Id="rId92" Type="http://schemas.openxmlformats.org/officeDocument/2006/relationships/hyperlink" Target="http://www.sec.gov/Archives/edgar/data/1692115/000169211517000020/form8-k030917.htm" TargetMode="External"/><Relationship Id="rId93" Type="http://schemas.openxmlformats.org/officeDocument/2006/relationships/hyperlink" Target="http://www.sec.gov/Archives/edgar/data/92416/000119312517106583/d370450d8k.htm" TargetMode="External"/><Relationship Id="rId94" Type="http://schemas.openxmlformats.org/officeDocument/2006/relationships/hyperlink" Target="http://www.sec.gov/Archives/edgar/data/1692115/000119312517118684/d376321d8k.htm" TargetMode="External"/><Relationship Id="rId95" Type="http://schemas.openxmlformats.org/officeDocument/2006/relationships/hyperlink" Target="http://www.sec.gov/Archives/edgar/data/1692115/000169211517000031/form8-k51017.htm" TargetMode="External"/><Relationship Id="rId96" Type="http://schemas.openxmlformats.org/officeDocument/2006/relationships/hyperlink" Target="http://www.sec.gov/Archives/edgar/data/1692115/000169211517000041/form8k101717.htm" TargetMode="External"/><Relationship Id="rId97" Type="http://schemas.openxmlformats.org/officeDocument/2006/relationships/hyperlink" Target="http://www.sec.gov/Archives/edgar/data/92416/000009241617000024/form8-k103017.htm" TargetMode="External"/><Relationship Id="rId98" Type="http://schemas.openxmlformats.org/officeDocument/2006/relationships/hyperlink" Target="http://www.sec.gov/Archives/edgar/data/92416/000169211517000047/form8k1107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2019-12-04T22:45:03Z</dcterms:created>
  <dcterms:modified xsi:type="dcterms:W3CDTF">2019-12-04T22:45:03Z</dcterms:modified>
</cp:coreProperties>
</file>