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Southwest Gas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Keith Meister/Patrick Dooley</w:t>
              <w:br/>
              <w:t>Corvex Management LP, 667 Madison Avenue</w:t>
              <w:br/>
              <w:t>New York, NY, 10065</w:t>
              <w:br/>
              <w:t>(212) 474-6700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Corvex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3,618,161.00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3,618,161.00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3,618,161.00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Keith A. Meister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3,618,161.00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3,618,161.00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3,618,161.00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Southwest Gas Holdings,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8360 S. Durango Drive, Las Vegas, NEVADA , 89113.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("Amendment No. 2") supplements the information set forth in the Schedule 13D dated October 23, 2023, and as amended by Amendment No. 1 on May 28, 2025, filed by Corvex Management LP ("Corvex") and Keith Meister ("Mr. Meister", and together with Corvex, the "Reporting Persons") with the United States Securities and Exchange Commission (the "Schedule 13D") relating to the shares of common stock, par value $1 per share (the "Shares"), of Southwest Gas Holdings, Inc., a Delaware corporation (the "Issuer"). Capitalized terms used but not defined herein shall have the meanings ascribed to them in the Schedule 13D. The information set forth in response to each separate Item below shall be deemed to be a response to all Items where such information is relevant.</w:t>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Item 3 is hereby amended and restated in its entirety as follows: The Reporting Persons used the working capital of the Corvex Funds to purchase the 3,618,161 Shares reported herein. The total purchase price for the Shares reported herein was approximately $218,295,069. Various of the Reporting Persons may effect purchases of securities through margin accounts maintained for the Corvex Funds with brokers, which extend margin credit as and when required to open or carry positions in their margin accounts, subject to applicable federal margin regulations, stock exchange rules and such firms' credit policies. Positions in Shares may be held in margin accounts and may be pledged as collateral security for the repayment of debit balances in such accounts.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0"/>
              <w:jc w:val="left"/>
              <w:rPr/>
            </w:pPr>
            <w:r>
              <w:rPr/>
              <w:t>Corvex may be deemed to be the beneficial owner of 3,618,161 Shares, which represent approximately 4.99% of the Issuer's outstanding Shares. By virtue of his position as control person of the general partner of Corvex, Mr. Meister may be considered to beneficially own such Shares. The percentage calculated in the immediately foregoing paragraph is calculated based on a total of 72,374,873 Shares outstanding as of May 1, 2026, as reported in the Issuer's Quarterly Report on Form 10-Q filed with the SEC on May 5, 2026.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0"/>
              <w:jc w:val="left"/>
              <w:rPr/>
            </w:pPr>
            <w:r>
              <w:rPr/>
              <w:t>Items 7 through 10 of each of the cover pages of this Amendment No. 2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0"/>
              <w:jc w:val="left"/>
              <w:rPr/>
            </w:pPr>
            <w:r>
              <w:rPr/>
              <w:t>Except as set forth in Exhibit 99.1 attached hereto, there have been no transactions in the Shares during the sixty days prior to the date hereof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0"/>
              <w:jc w:val="left"/>
              <w:rPr/>
            </w:pPr>
            <w:r>
              <w:rPr/>
              <w:t>The limited partners of (or investors in) each of the private investment funds for which Corvex or its affiliates acts as general partner and/or investment adviser have the right to participate in the receipt of dividends from, or proceeds from the sale of, the Shares held for the accounts of their respective funds in accordance with their respective limited partnership interests (or investment percentages) in their respective funds.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0"/>
              <w:jc w:val="left"/>
              <w:rPr/>
            </w:pPr>
            <w:r>
              <w:rPr/>
              <w:t>The Reporting Persons ceased to be beneficial owners of more than five percent of the Shares on May 6, 2026.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Exhibit 99.1 Transactions in the Shares effected in the past 60 days.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Corvex Management LP</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Keith Meister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Keith Meister / Managing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Keith A. Meister</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5"/>
        <w:gridCol w:w="4430"/>
      </w:tblGrid>
      <w:tr>
        <w:trPr/>
        <w:tc>
          <w:tcPr>
            <w:tcW w:w="57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Keith Meister</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Keith Meister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4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bookmarkStart w:id="18" w:name="exhibit_99-1.htm"/>
      <w:bookmarkStart w:id="19" w:name="ksexhibit_991"/>
      <w:bookmarkStart w:id="20" w:name="exhibit_99-1.htm"/>
      <w:bookmarkStart w:id="21" w:name="ksexhibit_991"/>
      <w:bookmarkEnd w:id="20"/>
      <w:bookmarkEnd w:id="21"/>
      <w:r>
        <w:br w:type="page"/>
      </w:r>
    </w:p>
    <w:p>
      <w:pPr>
        <w:pStyle w:val="TextBody"/>
        <w:bidi w:val="0"/>
        <w:spacing w:before="0" w:after="0"/>
        <w:jc w:val="right"/>
        <w:rPr>
          <w:rFonts w:ascii="Times New Roman;Times;serif" w:hAnsi="Times New Roman;Times;serif"/>
          <w:color w:val="000000"/>
          <w:sz w:val="24"/>
        </w:rPr>
      </w:pPr>
      <w:r>
        <w:rPr>
          <w:rFonts w:ascii="Times New Roman;Times;serif" w:hAnsi="Times New Roman;Times;serif"/>
          <w:color w:val="000000"/>
          <w:sz w:val="24"/>
        </w:rPr>
        <w:t>Exhibit 99.1</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ind w:left="0" w:right="36" w:hanging="0"/>
        <w:jc w:val="center"/>
        <w:rPr>
          <w:rFonts w:ascii="Times New Roman;Times;serif" w:hAnsi="Times New Roman;Times;serif"/>
          <w:b/>
          <w:color w:val="000000"/>
          <w:sz w:val="24"/>
        </w:rPr>
      </w:pPr>
      <w:r>
        <w:rPr>
          <w:rFonts w:ascii="Times New Roman;Times;serif" w:hAnsi="Times New Roman;Times;serif"/>
          <w:b/>
          <w:color w:val="000000"/>
          <w:sz w:val="24"/>
        </w:rPr>
        <w:t>Schedule of Transactions in Shares</w:t>
      </w:r>
    </w:p>
    <w:p>
      <w:pPr>
        <w:pStyle w:val="TextBody"/>
        <w:bidi w:val="0"/>
        <w:spacing w:before="0" w:after="0"/>
        <w:ind w:left="0" w:right="36" w:hanging="0"/>
        <w:jc w:val="center"/>
        <w:rPr>
          <w:color w:val="000000"/>
        </w:rPr>
      </w:pPr>
      <w:r>
        <w:rPr>
          <w:color w:val="000000"/>
        </w:rPr>
        <w:t> </w:t>
      </w:r>
    </w:p>
    <w:p>
      <w:pPr>
        <w:pStyle w:val="TextBody"/>
        <w:bidi w:val="0"/>
        <w:spacing w:before="0" w:after="0"/>
        <w:ind w:left="0" w:right="36" w:hanging="0"/>
        <w:jc w:val="left"/>
        <w:rPr>
          <w:rFonts w:ascii="Times New Roman;Times;serif" w:hAnsi="Times New Roman;Times;serif"/>
          <w:color w:val="000000"/>
          <w:sz w:val="24"/>
        </w:rPr>
      </w:pPr>
      <w:r>
        <w:rPr>
          <w:rFonts w:ascii="Times New Roman;Times;serif" w:hAnsi="Times New Roman;Times;serif"/>
          <w:color w:val="000000"/>
          <w:sz w:val="24"/>
        </w:rPr>
        <w:t>The following table sets forth all transactions effected in the last sixty days by the Reporting Persons (on behalf of the Corvex Funds) in respect of the Shares, inclusive of any transactions effected through 4:00 p.m., New York City time, on May 8, 2026. All such transactions were sales of securities effected in the open market, and the table excludes commissions paid in per share prices.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f010fa22d4f145ce8aff7f2b133a9e9b"/>
      <w:bookmarkStart w:id="23" w:name="zf010fa22d4f145ce8aff7f2b133a9e9b"/>
      <w:bookmarkEnd w:id="23"/>
    </w:p>
    <w:tbl>
      <w:tblPr>
        <w:tblW w:w="8105" w:type="dxa"/>
        <w:jc w:val="left"/>
        <w:tblInd w:w="0" w:type="dxa"/>
        <w:tblLayout w:type="fixed"/>
        <w:tblCellMar>
          <w:top w:w="0" w:type="dxa"/>
          <w:left w:w="0" w:type="dxa"/>
          <w:bottom w:w="28" w:type="dxa"/>
          <w:right w:w="0" w:type="dxa"/>
        </w:tblCellMar>
      </w:tblPr>
      <w:tblGrid>
        <w:gridCol w:w="3215"/>
        <w:gridCol w:w="120"/>
        <w:gridCol w:w="1760"/>
        <w:gridCol w:w="120"/>
        <w:gridCol w:w="102"/>
        <w:gridCol w:w="1373"/>
        <w:gridCol w:w="60"/>
        <w:gridCol w:w="60"/>
        <w:gridCol w:w="118"/>
        <w:gridCol w:w="1102"/>
        <w:gridCol w:w="75"/>
      </w:tblGrid>
      <w:tr>
        <w:trPr/>
        <w:tc>
          <w:tcPr>
            <w:tcW w:w="3215" w:type="dxa"/>
            <w:tcBorders>
              <w:bottom w:val="single" w:sz="12" w:space="0" w:color="000000"/>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NATURE OF TRANSACTION</w:t>
            </w:r>
          </w:p>
        </w:tc>
        <w:tc>
          <w:tcPr>
            <w:tcW w:w="120" w:type="dxa"/>
            <w:tcBorders/>
            <w:tcMar>
              <w:bottom w:w="0" w:type="dxa"/>
            </w:tcMar>
            <w:vAlign w:val="center"/>
          </w:tcPr>
          <w:p>
            <w:pPr>
              <w:pStyle w:val="TableContents"/>
              <w:bidi w:val="0"/>
              <w:spacing w:before="0" w:after="0"/>
              <w:jc w:val="left"/>
              <w:rPr/>
            </w:pPr>
            <w:r>
              <w:rPr/>
              <w:t>  </w:t>
            </w:r>
          </w:p>
        </w:tc>
        <w:tc>
          <w:tcPr>
            <w:tcW w:w="1760" w:type="dxa"/>
            <w:tcBorders>
              <w:bottom w:val="single" w:sz="12" w:space="0" w:color="000000"/>
            </w:tcBorders>
            <w:vAlign w:val="center"/>
          </w:tcPr>
          <w:p>
            <w:pPr>
              <w:pStyle w:val="TableContents"/>
              <w:bidi w:val="0"/>
              <w:spacing w:before="0" w:after="0"/>
              <w:jc w:val="center"/>
              <w:rPr/>
            </w:pPr>
            <w:r>
              <w:rPr/>
              <w:t>DATE OF</w:t>
            </w:r>
          </w:p>
          <w:p>
            <w:pPr>
              <w:pStyle w:val="TableContents"/>
              <w:bidi w:val="0"/>
              <w:spacing w:before="0" w:after="0"/>
              <w:jc w:val="center"/>
              <w:rPr/>
            </w:pPr>
            <w:r>
              <w:rPr/>
              <w:t>TRANSACTION</w:t>
            </w:r>
          </w:p>
        </w:tc>
        <w:tc>
          <w:tcPr>
            <w:tcW w:w="120" w:type="dxa"/>
            <w:tcBorders/>
            <w:tcMar>
              <w:bottom w:w="0" w:type="dxa"/>
            </w:tcMar>
            <w:vAlign w:val="center"/>
          </w:tcPr>
          <w:p>
            <w:pPr>
              <w:pStyle w:val="TableContents"/>
              <w:bidi w:val="0"/>
              <w:spacing w:before="0" w:after="0"/>
              <w:jc w:val="left"/>
              <w:rPr/>
            </w:pPr>
            <w:r>
              <w:rPr/>
              <w:t>  </w:t>
            </w:r>
          </w:p>
        </w:tc>
        <w:tc>
          <w:tcPr>
            <w:tcW w:w="1475" w:type="dxa"/>
            <w:gridSpan w:val="2"/>
            <w:tcBorders>
              <w:bottom w:val="single" w:sz="12" w:space="0" w:color="000000"/>
            </w:tcBorders>
            <w:vAlign w:val="center"/>
          </w:tcPr>
          <w:p>
            <w:pPr>
              <w:pStyle w:val="TableContents"/>
              <w:bidi w:val="0"/>
              <w:spacing w:before="0" w:after="0"/>
              <w:jc w:val="center"/>
              <w:rPr/>
            </w:pPr>
            <w:r>
              <w:rPr/>
              <w:t>AMOUNT OF</w:t>
            </w:r>
          </w:p>
          <w:p>
            <w:pPr>
              <w:pStyle w:val="TableContents"/>
              <w:bidi w:val="0"/>
              <w:spacing w:before="0" w:after="0"/>
              <w:jc w:val="center"/>
              <w:rPr/>
            </w:pPr>
            <w:r>
              <w:rPr/>
              <w:t>SECURITIES</w:t>
            </w:r>
          </w:p>
        </w:tc>
        <w:tc>
          <w:tcPr>
            <w:tcW w:w="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220" w:type="dxa"/>
            <w:gridSpan w:val="2"/>
            <w:tcBorders>
              <w:bottom w:val="single" w:sz="12" w:space="0" w:color="000000"/>
            </w:tcBorders>
            <w:vAlign w:val="center"/>
          </w:tcPr>
          <w:p>
            <w:pPr>
              <w:pStyle w:val="TableContents"/>
              <w:bidi w:val="0"/>
              <w:spacing w:before="0" w:after="0"/>
              <w:jc w:val="center"/>
              <w:rPr/>
            </w:pPr>
            <w:r>
              <w:rPr/>
              <w:t>PRICE PER</w:t>
            </w:r>
          </w:p>
          <w:p>
            <w:pPr>
              <w:pStyle w:val="TableContents"/>
              <w:bidi w:val="0"/>
              <w:spacing w:lineRule="auto" w:line="240" w:before="0" w:after="0"/>
              <w:jc w:val="center"/>
              <w:rPr/>
            </w:pPr>
            <w:r>
              <w:rPr/>
              <w:t>SHARE $1</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tcMar>
              <w:bottom w:w="0" w:type="dxa"/>
            </w:tcMar>
            <w:vAlign w:val="center"/>
          </w:tcPr>
          <w:p>
            <w:pPr>
              <w:pStyle w:val="TableContents"/>
              <w:bidi w:val="0"/>
              <w:spacing w:before="0" w:after="0"/>
              <w:ind w:left="360" w:right="0" w:hanging="360"/>
              <w:jc w:val="left"/>
              <w:rPr>
                <w:rFonts w:ascii="Times New Roman;Times;serif" w:hAnsi="Times New Roman;Times;serif"/>
              </w:rPr>
            </w:pPr>
            <w:r>
              <w:rPr>
                <w:rFonts w:ascii="Times New Roman;Times;serif" w:hAnsi="Times New Roman;Times;serif"/>
              </w:rPr>
              <w:t>Sale of Common Stock</w:t>
            </w:r>
          </w:p>
        </w:tc>
        <w:tc>
          <w:tcPr>
            <w:tcW w:w="12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03/09/2026</w:t>
            </w:r>
          </w:p>
        </w:tc>
        <w:tc>
          <w:tcPr>
            <w:tcW w:w="12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373"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38,600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1102"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87.38</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tcMar>
              <w:bottom w:w="0" w:type="dxa"/>
            </w:tcMar>
            <w:vAlign w:val="center"/>
          </w:tcPr>
          <w:p>
            <w:pPr>
              <w:pStyle w:val="TableContents"/>
              <w:bidi w:val="0"/>
              <w:spacing w:before="0" w:after="0"/>
              <w:ind w:left="360" w:right="0" w:hanging="360"/>
              <w:jc w:val="left"/>
              <w:rPr>
                <w:rFonts w:ascii="Times New Roman;Times;serif" w:hAnsi="Times New Roman;Times;serif"/>
              </w:rPr>
            </w:pPr>
            <w:r>
              <w:rPr>
                <w:rFonts w:ascii="Times New Roman;Times;serif" w:hAnsi="Times New Roman;Times;serif"/>
              </w:rPr>
              <w:t>Sale of Common Stock</w:t>
            </w:r>
          </w:p>
        </w:tc>
        <w:tc>
          <w:tcPr>
            <w:tcW w:w="12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03/10/2026</w:t>
            </w:r>
          </w:p>
        </w:tc>
        <w:tc>
          <w:tcPr>
            <w:tcW w:w="12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373"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16,173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1102"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87.84</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tcMar>
              <w:bottom w:w="0" w:type="dxa"/>
            </w:tcMar>
            <w:vAlign w:val="center"/>
          </w:tcPr>
          <w:p>
            <w:pPr>
              <w:pStyle w:val="TableContents"/>
              <w:bidi w:val="0"/>
              <w:spacing w:before="0" w:after="0"/>
              <w:ind w:left="360" w:right="0" w:hanging="360"/>
              <w:jc w:val="left"/>
              <w:rPr>
                <w:rFonts w:ascii="Times New Roman;Times;serif" w:hAnsi="Times New Roman;Times;serif"/>
              </w:rPr>
            </w:pPr>
            <w:r>
              <w:rPr>
                <w:rFonts w:ascii="Times New Roman;Times;serif" w:hAnsi="Times New Roman;Times;serif"/>
              </w:rPr>
              <w:t>Sale of Common Stock</w:t>
            </w:r>
          </w:p>
        </w:tc>
        <w:tc>
          <w:tcPr>
            <w:tcW w:w="12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03/11/2026</w:t>
            </w:r>
          </w:p>
        </w:tc>
        <w:tc>
          <w:tcPr>
            <w:tcW w:w="12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373"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32,600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1102"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87.49</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tcMar>
              <w:bottom w:w="0" w:type="dxa"/>
            </w:tcMar>
            <w:vAlign w:val="center"/>
          </w:tcPr>
          <w:p>
            <w:pPr>
              <w:pStyle w:val="TableContents"/>
              <w:bidi w:val="0"/>
              <w:spacing w:before="0" w:after="0"/>
              <w:ind w:left="360" w:right="0" w:hanging="360"/>
              <w:jc w:val="left"/>
              <w:rPr>
                <w:rFonts w:ascii="Times New Roman;Times;serif" w:hAnsi="Times New Roman;Times;serif"/>
              </w:rPr>
            </w:pPr>
            <w:r>
              <w:rPr>
                <w:rFonts w:ascii="Times New Roman;Times;serif" w:hAnsi="Times New Roman;Times;serif"/>
              </w:rPr>
              <w:t>Sale of Common Stock</w:t>
            </w:r>
          </w:p>
        </w:tc>
        <w:tc>
          <w:tcPr>
            <w:tcW w:w="12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03/12/2026</w:t>
            </w:r>
          </w:p>
        </w:tc>
        <w:tc>
          <w:tcPr>
            <w:tcW w:w="12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373"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17,727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1102"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87.48</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tcMar>
              <w:bottom w:w="0" w:type="dxa"/>
            </w:tcMar>
            <w:vAlign w:val="center"/>
          </w:tcPr>
          <w:p>
            <w:pPr>
              <w:pStyle w:val="TableContents"/>
              <w:bidi w:val="0"/>
              <w:spacing w:before="0" w:after="0"/>
              <w:ind w:left="360" w:right="0" w:hanging="360"/>
              <w:jc w:val="left"/>
              <w:rPr>
                <w:rFonts w:ascii="Times New Roman;Times;serif" w:hAnsi="Times New Roman;Times;serif"/>
              </w:rPr>
            </w:pPr>
            <w:r>
              <w:rPr>
                <w:rFonts w:ascii="Times New Roman;Times;serif" w:hAnsi="Times New Roman;Times;serif"/>
              </w:rPr>
              <w:t>Sale of Common Stock</w:t>
            </w:r>
          </w:p>
        </w:tc>
        <w:tc>
          <w:tcPr>
            <w:tcW w:w="12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03/13/2026</w:t>
            </w:r>
          </w:p>
        </w:tc>
        <w:tc>
          <w:tcPr>
            <w:tcW w:w="12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373"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5,402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1102"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88.00</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tcMar>
              <w:bottom w:w="0" w:type="dxa"/>
            </w:tcMar>
            <w:vAlign w:val="center"/>
          </w:tcPr>
          <w:p>
            <w:pPr>
              <w:pStyle w:val="TableContents"/>
              <w:bidi w:val="0"/>
              <w:spacing w:before="0" w:after="0"/>
              <w:ind w:left="360" w:right="0" w:hanging="360"/>
              <w:jc w:val="left"/>
              <w:rPr>
                <w:rFonts w:ascii="Times New Roman;Times;serif" w:hAnsi="Times New Roman;Times;serif"/>
              </w:rPr>
            </w:pPr>
            <w:r>
              <w:rPr>
                <w:rFonts w:ascii="Times New Roman;Times;serif" w:hAnsi="Times New Roman;Times;serif"/>
              </w:rPr>
              <w:t>Sale of Common Stock</w:t>
            </w:r>
          </w:p>
        </w:tc>
        <w:tc>
          <w:tcPr>
            <w:tcW w:w="12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03/16/2026</w:t>
            </w:r>
          </w:p>
        </w:tc>
        <w:tc>
          <w:tcPr>
            <w:tcW w:w="12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373"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7,623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1102"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88.27</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tcMar>
              <w:bottom w:w="0" w:type="dxa"/>
            </w:tcMar>
            <w:vAlign w:val="center"/>
          </w:tcPr>
          <w:p>
            <w:pPr>
              <w:pStyle w:val="TableContents"/>
              <w:bidi w:val="0"/>
              <w:spacing w:before="0" w:after="0"/>
              <w:ind w:left="360" w:right="0" w:hanging="360"/>
              <w:jc w:val="left"/>
              <w:rPr>
                <w:rFonts w:ascii="Times New Roman;Times;serif" w:hAnsi="Times New Roman;Times;serif"/>
              </w:rPr>
            </w:pPr>
            <w:r>
              <w:rPr>
                <w:rFonts w:ascii="Times New Roman;Times;serif" w:hAnsi="Times New Roman;Times;serif"/>
              </w:rPr>
              <w:t>Sale of Common Stock</w:t>
            </w:r>
          </w:p>
        </w:tc>
        <w:tc>
          <w:tcPr>
            <w:tcW w:w="12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05/06/2026</w:t>
            </w:r>
          </w:p>
        </w:tc>
        <w:tc>
          <w:tcPr>
            <w:tcW w:w="12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373"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700,000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1102" w:type="dxa"/>
            <w:tcBorders/>
            <w:tcMar>
              <w:bottom w:w="0" w:type="dxa"/>
            </w:tcMar>
            <w:vAlign w:val="center"/>
          </w:tcPr>
          <w:p>
            <w:pPr>
              <w:pStyle w:val="TableContents"/>
              <w:bidi w:val="0"/>
              <w:spacing w:before="0" w:after="0"/>
              <w:jc w:val="right"/>
              <w:rPr>
                <w:rFonts w:ascii="Times New Roman;Times;serif" w:hAnsi="Times New Roman;Times;serif"/>
              </w:rPr>
            </w:pPr>
            <w:r>
              <w:rPr>
                <w:rFonts w:ascii="Times New Roman;Times;serif" w:hAnsi="Times New Roman;Times;serif"/>
              </w:rPr>
              <w:t>90.34</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Times;serif" w:hAnsi="Times New Roman;Times;serif"/>
          <w:color w:val="000000"/>
          <w:sz w:val="24"/>
        </w:rPr>
      </w:pPr>
      <w:r>
        <w:rPr>
          <w:rFonts w:ascii="Times New Roman;Times;serif" w:hAnsi="Times New Roman;Times;serif"/>
          <w:color w:val="000000"/>
          <w:sz w:val="24"/>
        </w:rPr>
        <w:t>(1) Other than the sale on May 6, 2026, the prices in each of the following rows are weighted average prices. Other than the sale on May 6, 2026, the Shares were sold in multiple transactions. The Reporting Persons undertake to provide the staff of the Securities and Exchange Commission, upon request, full information regarding the number of Shares sold at each separate price. </w:t>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1266</Words>
  <Characters>6495</Characters>
  <CharactersWithSpaces>7713</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