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 (Amendment No. 16)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Southwest Gas Corporation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$1.00 Par Value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844895102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line="238" w:lineRule="auto"/>
        <w:rPr>
          <w:sz w:val="20"/>
          <w:szCs w:val="20"/>
          <w:color w:val="auto"/>
        </w:rPr>
      </w:pPr>
      <w:r>
        <w:rPr>
          <w:rFonts w:ascii="Courier New" w:cs="Courier New" w:eastAsia="Courier New" w:hAnsi="Courier New"/>
          <w:sz w:val="18"/>
          <w:szCs w:val="18"/>
          <w:color w:val="auto"/>
        </w:rPr>
        <w:t>One Corporate Center</w:t>
      </w:r>
    </w:p>
    <w:p>
      <w:pPr>
        <w:spacing w:after="0"/>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ind w:right="1879"/>
        <w:spacing w:after="0" w:line="309"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4, 2001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826" w:right="1440" w:bottom="0" w:gutter="0" w:footer="0" w:header="0"/>
        </w:sectPr>
      </w:pP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13-4044523</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1064" w:lineRule="exact"/>
        <w:rPr>
          <w:sz w:val="24"/>
          <w:szCs w:val="24"/>
          <w:color w:val="auto"/>
        </w:rPr>
      </w:pPr>
    </w:p>
    <w:p>
      <w:pPr>
        <w:sectPr>
          <w:pgSz w:w="11900" w:h="16838" w:orient="portrait"/>
          <w:cols w:equalWidth="0" w:num="2">
            <w:col w:w="7720" w:space="720"/>
            <w:col w:w="1779"/>
          </w:cols>
          <w:pgMar w:left="240" w:top="826" w:right="1440" w:bottom="0" w:gutter="0" w:footer="0" w:header="0"/>
          <w:type w:val="continuous"/>
        </w:sectPr>
      </w:pP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BOX IF DISCLOSURE OF LEGAL PROCEEDINGS IS REQUIRED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ITEMS 2 (d) OR 2 (e)</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ectPr>
          <w:pgSz w:w="11900" w:h="16838" w:orient="portrait"/>
          <w:cols w:equalWidth="0" w:num="1">
            <w:col w:w="10219"/>
          </w:cols>
          <w:pgMar w:left="240" w:top="826"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840,000</w:t>
      </w:r>
      <w:r>
        <w:rPr>
          <w:sz w:val="20"/>
          <w:szCs w:val="20"/>
          <w:color w:val="auto"/>
        </w:rPr>
        <w:tab/>
      </w:r>
      <w:r>
        <w:rPr>
          <w:rFonts w:ascii="Courier New" w:cs="Courier New" w:eastAsia="Courier New" w:hAnsi="Courier New"/>
          <w:sz w:val="18"/>
          <w:szCs w:val="18"/>
          <w:color w:val="auto"/>
        </w:rPr>
        <w:t>(Item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840,000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840,000</w:t>
      </w:r>
      <w:r>
        <w:rPr>
          <w:sz w:val="20"/>
          <w:szCs w:val="20"/>
          <w:color w:val="auto"/>
        </w:rPr>
        <w:tab/>
      </w: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CUSIP No. 844895102</w:t>
      </w: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9"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13-4044521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0" w:right="1440" w:bottom="0" w:gutter="0" w:footer="0" w:header="0"/>
          <w:type w:val="continuous"/>
        </w:sectPr>
      </w:pPr>
    </w:p>
    <w:bookmarkStart w:id="2" w:name="page3"/>
    <w:bookmarkEnd w:id="2"/>
    <w:p>
      <w:pPr>
        <w:ind w:right="4319"/>
        <w:spacing w:after="0" w:line="347"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2,242,493</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2,329,493</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2,329,493</w:t>
      </w:r>
      <w:r>
        <w:rPr>
          <w:sz w:val="20"/>
          <w:szCs w:val="20"/>
          <w:color w:val="auto"/>
        </w:rPr>
        <w:tab/>
      </w: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Foundation, Inc.</w:t>
      </w:r>
    </w:p>
    <w:p>
      <w:pPr>
        <w:sectPr>
          <w:pgSz w:w="11900" w:h="16838" w:orient="portrait"/>
          <w:cols w:equalWidth="0" w:num="1">
            <w:col w:w="10219"/>
          </w:cols>
          <w:pgMar w:left="240" w:top="110" w:right="1440" w:bottom="0" w:gutter="0" w:footer="0" w:header="0"/>
        </w:sectPr>
      </w:pPr>
    </w:p>
    <w:bookmarkStart w:id="3" w:name="page4"/>
    <w:bookmarkEnd w:id="3"/>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94-2975159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N(SEE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0" w:right="1440" w:bottom="12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00-PRIVATE FOUNDATION</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ectPr>
          <w:pgSz w:w="11900" w:h="16838" w:orient="portrait"/>
          <w:cols w:equalWidth="0" w:num="1">
            <w:col w:w="10219"/>
          </w:cols>
          <w:pgMar w:left="240" w:top="312"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Corporation</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1064" w:lineRule="exact"/>
        <w:rPr>
          <w:sz w:val="20"/>
          <w:szCs w:val="20"/>
          <w:color w:val="auto"/>
        </w:rPr>
      </w:pPr>
    </w:p>
    <w:p>
      <w:pPr>
        <w:sectPr>
          <w:pgSz w:w="11900" w:h="16838" w:orient="portrait"/>
          <w:cols w:equalWidth="0" w:num="2">
            <w:col w:w="7720" w:space="720"/>
            <w:col w:w="1779"/>
          </w:cols>
          <w:pgMar w:left="240" w:top="312"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WC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DISCLOSURE OF LEGAL PROCEEDINGS IS REQUIRED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ITEMS 2 (d) OR 2 (e)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British Virgin Islands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1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22" w:lineRule="exact"/>
        <w:rPr>
          <w:sz w:val="20"/>
          <w:szCs w:val="20"/>
          <w:color w:val="auto"/>
        </w:rPr>
      </w:pPr>
    </w:p>
    <w:p>
      <w:pPr>
        <w:sectPr>
          <w:pgSz w:w="11900" w:h="16838" w:orient="portrait"/>
          <w:cols w:equalWidth="0" w:num="2">
            <w:col w:w="540" w:space="200"/>
            <w:col w:w="9479"/>
          </w:cols>
          <w:pgMar w:left="240" w:top="31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ectPr>
          <w:pgSz w:w="11900" w:h="16838"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22" w:lineRule="exact"/>
        <w:rPr>
          <w:sz w:val="20"/>
          <w:szCs w:val="20"/>
          <w:color w:val="auto"/>
        </w:rPr>
      </w:pPr>
    </w:p>
    <w:p>
      <w:pPr>
        <w:sectPr>
          <w:pgSz w:w="11900" w:h="16838" w:orient="portrait"/>
          <w:cols w:equalWidth="0" w:num="2">
            <w:col w:w="540" w:space="200"/>
            <w:col w:w="9479"/>
          </w:cols>
          <w:pgMar w:left="240" w:top="31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12"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1,000</w:t>
      </w:r>
      <w:r>
        <w:rPr>
          <w:sz w:val="20"/>
          <w:szCs w:val="20"/>
          <w:color w:val="auto"/>
        </w:rPr>
        <w:tab/>
      </w:r>
      <w:r>
        <w:rPr>
          <w:rFonts w:ascii="Courier New" w:cs="Courier New" w:eastAsia="Courier New" w:hAnsi="Courier New"/>
          <w:sz w:val="16"/>
          <w:szCs w:val="16"/>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Gabelli Group Capital Partners, Inc.</w:t>
      </w:r>
    </w:p>
    <w:p>
      <w:pPr>
        <w:spacing w:after="0" w:line="52" w:lineRule="exact"/>
        <w:rPr>
          <w:sz w:val="20"/>
          <w:szCs w:val="20"/>
          <w:color w:val="auto"/>
        </w:rPr>
      </w:pPr>
    </w:p>
    <w:p>
      <w:pPr>
        <w:jc w:val="center"/>
        <w:ind w:right="6399"/>
        <w:spacing w:after="0"/>
        <w:tabs>
          <w:tab w:leader="none" w:pos="1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13-3056041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10" w:right="1440" w:bottom="159"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5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X</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13-4007862</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11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5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X</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sectPr>
          <w:pgSz w:w="11900" w:h="16838" w:orient="portrait"/>
          <w:cols w:equalWidth="0" w:num="1">
            <w:col w:w="10219"/>
          </w:cols>
          <w:pgMar w:left="240" w:top="110" w:right="1440" w:bottom="0" w:gutter="0" w:footer="0" w:header="0"/>
        </w:sectPr>
      </w:pPr>
    </w:p>
    <w:bookmarkStart w:id="8" w:name="page9"/>
    <w:bookmarkEnd w:id="8"/>
    <w:p>
      <w:pPr>
        <w:ind w:left="2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10"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5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11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31" w:lineRule="exact"/>
        <w:rPr>
          <w:sz w:val="20"/>
          <w:szCs w:val="20"/>
          <w:color w:val="auto"/>
        </w:rPr>
      </w:pPr>
    </w:p>
    <w:p>
      <w:pPr>
        <w:ind w:right="2199" w:firstLine="1686"/>
        <w:spacing w:after="0" w:line="252" w:lineRule="auto"/>
        <w:rPr>
          <w:sz w:val="20"/>
          <w:szCs w:val="20"/>
          <w:color w:val="auto"/>
        </w:rPr>
      </w:pPr>
      <w:r>
        <w:rPr>
          <w:rFonts w:ascii="Courier New" w:cs="Courier New" w:eastAsia="Courier New" w:hAnsi="Courier New"/>
          <w:sz w:val="18"/>
          <w:szCs w:val="18"/>
          <w:color w:val="auto"/>
        </w:rPr>
        <w:t>This Amendment No. 16 to Schedule 13D on the Common Stock of Southwest Gas Corporation (the "Issuer") is being filed on behalf of the 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1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31" w:lineRule="exact"/>
        <w:rPr>
          <w:sz w:val="20"/>
          <w:szCs w:val="20"/>
          <w:color w:val="auto"/>
        </w:rPr>
      </w:pPr>
    </w:p>
    <w:p>
      <w:pPr>
        <w:ind w:right="2099" w:firstLine="1686"/>
        <w:spacing w:after="0" w:line="268" w:lineRule="auto"/>
        <w:rPr>
          <w:sz w:val="20"/>
          <w:szCs w:val="20"/>
          <w:color w:val="auto"/>
        </w:rPr>
      </w:pPr>
      <w:r>
        <w:rPr>
          <w:rFonts w:ascii="Courier New" w:cs="Courier New" w:eastAsia="Courier New" w:hAnsi="Courier New"/>
          <w:sz w:val="16"/>
          <w:szCs w:val="16"/>
          <w:color w:val="auto"/>
        </w:rPr>
        <w:t>This statement is being filed by Mario J. Gabelli ("Mario Gabelli"), Marc J. Gabelli ("Marc Gabelli") and various entities which either one directly or indirectly controls or for which either one acts as chief investment officer. Many of these entities engage in various aspects of the securities business, including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1" w:lineRule="exact"/>
        <w:rPr>
          <w:sz w:val="20"/>
          <w:szCs w:val="20"/>
          <w:color w:val="auto"/>
        </w:rPr>
      </w:pPr>
    </w:p>
    <w:p>
      <w:pPr>
        <w:ind w:right="1579" w:firstLine="1686"/>
        <w:spacing w:after="0" w:line="268"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Schedule13G, the holdings of those who</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3" w:lineRule="exact"/>
        <w:rPr>
          <w:sz w:val="20"/>
          <w:szCs w:val="20"/>
          <w:color w:val="auto"/>
        </w:rPr>
      </w:pPr>
    </w:p>
    <w:p>
      <w:pPr>
        <w:ind w:right="1579" w:firstLine="1686"/>
        <w:spacing w:after="0" w:line="238"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Group Capital Partners, Inc. ("Gabelli Partners"), Gabelli Asset Management Inc. ("GAMI"), Gabelli Funds, LLC ("Gabelli Funds"), GAMCO Investors, Inc. ("GAMCO"), Gabelli Securities, Inc. ("GSI"), Gabelli &amp; Company, Inc. ("Gabelli &amp; Company"), Gabelli Performance Partnership L.P. ("GPP"), GLI, Inc. ("GLI"), Gabelli Associates Fund ("Gabelli Associates"), Gabelli Associates Limited ("GAL"), Gabelli &amp; Company, Inc.</w:t>
      </w:r>
    </w:p>
    <w:p>
      <w:pPr>
        <w:spacing w:after="0" w:line="3"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Profit Sharing Plan (the "Plan"), Gabelli International Limited ("GIL"), Gabelli International II Limited ("GIL II"), ALCE Partners, L.P. ("ALCE"), Gabelli Multimedia Partners, L.P. ("Multimedia Partners"), MJG Associates, Inc. ("MJG Associates"), Gemini Capital Management, LLC. ("Gemini"), Gabelli Fund, LDC ("LDC"), Gabelli Foundation, Inc. ("Foundation"), Gabelli Advisers, Inc. ("Gabelli Advisers"), Gabelli Global Partners Master Fund, Ltd. ("GGP"), Gabelli European Partners Master Fund, Ltd. ("GEP"), Mario Gabelli, Marc Gabelli, Lynch Corporation ("Lynch"), Spinnaker Industries, Incorporated ("Spinnaker"), Western New Mexico Telephone Company ("Western New Mexico"), Entoleter, Inc. ("Entoleter"), Lynch Telecommunications Corporation ("Lynch Telecom"), Lynch Telephone Corporation ("Lynch Telephone"), Lynch Interactive Corporation ("Interactive"), Brighton Communications Corporation ("Brighton") and Inter-Community Telephone Company ("Inter-Community"). Those of the foregoing persons signing this Schedule 13D are hereafter referred to as the "Reporting Persons".</w:t>
      </w:r>
    </w:p>
    <w:p>
      <w:pPr>
        <w:spacing w:after="0" w:line="6" w:lineRule="exact"/>
        <w:rPr>
          <w:sz w:val="20"/>
          <w:szCs w:val="20"/>
          <w:color w:val="auto"/>
        </w:rPr>
      </w:pPr>
    </w:p>
    <w:p>
      <w:pPr>
        <w:ind w:right="1679" w:firstLine="1686"/>
        <w:spacing w:after="0" w:line="238"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Mario Gabelli is the Chairman of the Board of Directors, Chief Executive Officer and majority shareholder of Gabelli Partners. GAMI, a public company listed on the New York Stock Exchange, is the parent company of a variety of companies engaged in the securities business, including those named below.</w:t>
      </w:r>
    </w:p>
    <w:p>
      <w:pPr>
        <w:spacing w:after="0" w:line="2" w:lineRule="exact"/>
        <w:rPr>
          <w:sz w:val="20"/>
          <w:szCs w:val="20"/>
          <w:color w:val="auto"/>
        </w:rPr>
      </w:pPr>
    </w:p>
    <w:p>
      <w:pPr>
        <w:ind w:right="1579" w:firstLine="1686"/>
        <w:spacing w:after="0" w:line="238"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2" w:lineRule="exact"/>
        <w:rPr>
          <w:sz w:val="20"/>
          <w:szCs w:val="20"/>
          <w:color w:val="auto"/>
        </w:rPr>
      </w:pPr>
    </w:p>
    <w:p>
      <w:pPr>
        <w:ind w:right="1459" w:firstLine="1686"/>
        <w:spacing w:after="0" w:line="262" w:lineRule="auto"/>
        <w:rPr>
          <w:sz w:val="20"/>
          <w:szCs w:val="20"/>
          <w:color w:val="auto"/>
        </w:rPr>
      </w:pPr>
      <w:r>
        <w:rPr>
          <w:rFonts w:ascii="Courier New" w:cs="Courier New" w:eastAsia="Courier New" w:hAnsi="Courier New"/>
          <w:sz w:val="18"/>
          <w:szCs w:val="18"/>
          <w:color w:val="auto"/>
        </w:rPr>
        <w:t>GSI, a majority 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ectPr>
          <w:pgSz w:w="11900" w:h="16838" w:orient="portrait"/>
          <w:cols w:equalWidth="0" w:num="1">
            <w:col w:w="10219"/>
          </w:cols>
          <w:pgMar w:left="240" w:top="110" w:right="1440" w:bottom="0" w:gutter="0" w:footer="0" w:header="0"/>
        </w:sectPr>
      </w:pPr>
    </w:p>
    <w:bookmarkStart w:id="11" w:name="page12"/>
    <w:bookmarkEnd w:id="11"/>
    <w:p>
      <w:pPr>
        <w:spacing w:after="0" w:line="79" w:lineRule="exact"/>
        <w:rPr>
          <w:sz w:val="20"/>
          <w:szCs w:val="20"/>
          <w:color w:val="auto"/>
        </w:rPr>
      </w:pPr>
    </w:p>
    <w:p>
      <w:pPr>
        <w:ind w:right="1679" w:firstLine="1686"/>
        <w:spacing w:after="0" w:line="24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3" w:lineRule="exact"/>
        <w:rPr>
          <w:sz w:val="20"/>
          <w:szCs w:val="20"/>
          <w:color w:val="auto"/>
        </w:rPr>
      </w:pPr>
    </w:p>
    <w:p>
      <w:pPr>
        <w:ind w:right="2099" w:firstLine="1686"/>
        <w:spacing w:after="0" w:line="238" w:lineRule="auto"/>
        <w:rPr>
          <w:sz w:val="20"/>
          <w:szCs w:val="20"/>
          <w:color w:val="auto"/>
        </w:rPr>
      </w:pPr>
      <w:r>
        <w:rPr>
          <w:rFonts w:ascii="Courier New" w:cs="Courier New" w:eastAsia="Courier New" w:hAnsi="Courier New"/>
          <w:sz w:val="18"/>
          <w:szCs w:val="18"/>
          <w:color w:val="auto"/>
        </w:rPr>
        <w:t>GLI, a wholly-owned subsidiary of GSI, is a corporation which currently has no active operations.</w:t>
      </w:r>
    </w:p>
    <w:p>
      <w:pPr>
        <w:spacing w:after="0" w:line="1" w:lineRule="exact"/>
        <w:rPr>
          <w:sz w:val="20"/>
          <w:szCs w:val="20"/>
          <w:color w:val="auto"/>
        </w:rPr>
      </w:pPr>
    </w:p>
    <w:p>
      <w:pPr>
        <w:ind w:right="1579" w:firstLine="1686"/>
        <w:spacing w:after="0" w:line="238" w:lineRule="auto"/>
        <w:rPr>
          <w:sz w:val="20"/>
          <w:szCs w:val="20"/>
          <w:color w:val="auto"/>
        </w:rPr>
      </w:pPr>
      <w:r>
        <w:rPr>
          <w:rFonts w:ascii="Courier New" w:cs="Courier New" w:eastAsia="Courier New" w:hAnsi="Courier New"/>
          <w:sz w:val="18"/>
          <w:szCs w:val="18"/>
          <w:color w:val="auto"/>
        </w:rPr>
        <w:t>Gabelli Associates is a limited partnership whose primary business purpose is risk arbitrage investments. GSI and Mario Gabelli are the general partners of Gabelli Associates.</w:t>
      </w:r>
    </w:p>
    <w:p>
      <w:pPr>
        <w:spacing w:after="0" w:line="1" w:lineRule="exact"/>
        <w:rPr>
          <w:sz w:val="20"/>
          <w:szCs w:val="20"/>
          <w:color w:val="auto"/>
        </w:rPr>
      </w:pPr>
    </w:p>
    <w:p>
      <w:pPr>
        <w:ind w:right="1879" w:firstLine="1686"/>
        <w:spacing w:after="0" w:line="268" w:lineRule="auto"/>
        <w:rPr>
          <w:sz w:val="20"/>
          <w:szCs w:val="20"/>
          <w:color w:val="auto"/>
        </w:rPr>
      </w:pPr>
      <w:r>
        <w:rPr>
          <w:rFonts w:ascii="Courier New" w:cs="Courier New" w:eastAsia="Courier New" w:hAnsi="Courier New"/>
          <w:sz w:val="16"/>
          <w:szCs w:val="16"/>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1"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Gabelli Funds, a wholly owned subsidiary of GAMI, is a limited liability company. Gabelli Funds is an investment adviser registered under the Advisers Act which presently provides discretionary managed account services for the following registered investment companies: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and The Gabelli Blue Chip Value Fund (collectively, the "Funds").</w:t>
      </w:r>
    </w:p>
    <w:p>
      <w:pPr>
        <w:spacing w:after="0" w:line="5" w:lineRule="exact"/>
        <w:rPr>
          <w:sz w:val="20"/>
          <w:szCs w:val="20"/>
          <w:color w:val="auto"/>
        </w:rPr>
      </w:pPr>
    </w:p>
    <w:p>
      <w:pPr>
        <w:ind w:right="1779" w:firstLine="1686"/>
        <w:spacing w:after="0" w:line="238" w:lineRule="auto"/>
        <w:rPr>
          <w:sz w:val="20"/>
          <w:szCs w:val="20"/>
          <w:color w:val="auto"/>
        </w:rPr>
      </w:pPr>
      <w:r>
        <w:rPr>
          <w:rFonts w:ascii="Courier New" w:cs="Courier New" w:eastAsia="Courier New" w:hAnsi="Courier New"/>
          <w:sz w:val="18"/>
          <w:szCs w:val="18"/>
          <w:color w:val="auto"/>
        </w:rPr>
        <w:t>Gabelli Advisers, a subsidiary of GAMI, is an investment adviser which provides discretionary advisory services to The Gabelli Westwood Mighty Mitessm Fund</w:t>
      </w:r>
    </w:p>
    <w:p>
      <w:pPr>
        <w:spacing w:after="0" w:line="1" w:lineRule="exact"/>
        <w:rPr>
          <w:sz w:val="20"/>
          <w:szCs w:val="20"/>
          <w:color w:val="auto"/>
        </w:rPr>
      </w:pPr>
    </w:p>
    <w:p>
      <w:pPr>
        <w:ind w:right="2419" w:firstLine="1686"/>
        <w:spacing w:after="0" w:line="238"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1" w:lineRule="exact"/>
        <w:rPr>
          <w:sz w:val="20"/>
          <w:szCs w:val="20"/>
          <w:color w:val="auto"/>
        </w:rPr>
      </w:pPr>
    </w:p>
    <w:p>
      <w:pPr>
        <w:ind w:right="1999" w:firstLine="1686"/>
        <w:spacing w:after="0" w:line="238"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provides services to GPP, and Mario Gabelli is the general partner and a portfolio manager for GPP.</w:t>
      </w:r>
    </w:p>
    <w:p>
      <w:pPr>
        <w:spacing w:after="0" w:line="1" w:lineRule="exact"/>
        <w:rPr>
          <w:sz w:val="20"/>
          <w:szCs w:val="20"/>
          <w:color w:val="auto"/>
        </w:rPr>
      </w:pPr>
    </w:p>
    <w:p>
      <w:pPr>
        <w:ind w:right="1459" w:firstLine="1686"/>
        <w:spacing w:after="0" w:line="238"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 GIL II. Mario Gabelli is a portfolio manager and Chairman of the Board of Directors of GIL II.</w:t>
      </w:r>
    </w:p>
    <w:p>
      <w:pPr>
        <w:spacing w:after="0" w:line="1" w:lineRule="exact"/>
        <w:rPr>
          <w:sz w:val="20"/>
          <w:szCs w:val="20"/>
          <w:color w:val="auto"/>
        </w:rPr>
      </w:pPr>
    </w:p>
    <w:p>
      <w:pPr>
        <w:jc w:val="both"/>
        <w:ind w:right="1879" w:firstLine="1686"/>
        <w:spacing w:after="0" w:line="238"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1" w:lineRule="exact"/>
        <w:rPr>
          <w:sz w:val="20"/>
          <w:szCs w:val="20"/>
          <w:color w:val="auto"/>
        </w:rPr>
      </w:pPr>
    </w:p>
    <w:p>
      <w:pPr>
        <w:ind w:right="1999" w:firstLine="1686"/>
        <w:spacing w:after="0" w:line="238"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1" w:lineRule="exact"/>
        <w:rPr>
          <w:sz w:val="20"/>
          <w:szCs w:val="20"/>
          <w:color w:val="auto"/>
        </w:rPr>
      </w:pPr>
    </w:p>
    <w:p>
      <w:pPr>
        <w:ind w:right="1459" w:firstLine="1686"/>
        <w:spacing w:after="0" w:line="238" w:lineRule="auto"/>
        <w:rPr>
          <w:sz w:val="20"/>
          <w:szCs w:val="20"/>
          <w:color w:val="auto"/>
        </w:rPr>
      </w:pPr>
      <w:r>
        <w:rPr>
          <w:rFonts w:ascii="Courier New" w:cs="Courier New" w:eastAsia="Courier New" w:hAnsi="Courier New"/>
          <w:sz w:val="18"/>
          <w:szCs w:val="18"/>
          <w:color w:val="auto"/>
        </w:rPr>
        <w:t>GGP is a corporation whose primary business purpose is investing in securities on a global basis. Gabelli Securities International Limited and Gemini are the investment advisors of GGP and Marc Gabelli is the portfolio manager for GGP.</w:t>
      </w:r>
    </w:p>
    <w:p>
      <w:pPr>
        <w:spacing w:after="0" w:line="1" w:lineRule="exact"/>
        <w:rPr>
          <w:sz w:val="20"/>
          <w:szCs w:val="20"/>
          <w:color w:val="auto"/>
        </w:rPr>
      </w:pPr>
    </w:p>
    <w:p>
      <w:pPr>
        <w:ind w:right="1459" w:firstLine="1686"/>
        <w:spacing w:after="0" w:line="238" w:lineRule="auto"/>
        <w:rPr>
          <w:sz w:val="20"/>
          <w:szCs w:val="20"/>
          <w:color w:val="auto"/>
        </w:rPr>
      </w:pPr>
      <w:r>
        <w:rPr>
          <w:rFonts w:ascii="Courier New" w:cs="Courier New" w:eastAsia="Courier New" w:hAnsi="Courier New"/>
          <w:sz w:val="18"/>
          <w:szCs w:val="18"/>
          <w:color w:val="auto"/>
        </w:rPr>
        <w:t>GEP is a corporation whose primary business purpose is investing in securities of European Companies. Gabelli Securities International Limited is</w:t>
      </w:r>
    </w:p>
    <w:p>
      <w:pPr>
        <w:spacing w:after="0"/>
        <w:rPr>
          <w:sz w:val="20"/>
          <w:szCs w:val="20"/>
          <w:color w:val="auto"/>
        </w:rPr>
      </w:pPr>
      <w:r>
        <w:rPr>
          <w:rFonts w:ascii="Courier New" w:cs="Courier New" w:eastAsia="Courier New" w:hAnsi="Courier New"/>
          <w:sz w:val="18"/>
          <w:szCs w:val="18"/>
          <w:color w:val="auto"/>
        </w:rPr>
        <w:t>the investment advisor of GEP and Marc Gabelli is a portfolio manager for GEP.</w:t>
      </w:r>
    </w:p>
    <w:p>
      <w:pPr>
        <w:ind w:right="1579" w:firstLine="1686"/>
        <w:spacing w:after="0" w:line="268" w:lineRule="auto"/>
        <w:rPr>
          <w:sz w:val="20"/>
          <w:szCs w:val="20"/>
          <w:color w:val="auto"/>
        </w:rPr>
      </w:pPr>
      <w:r>
        <w:rPr>
          <w:rFonts w:ascii="Courier New" w:cs="Courier New" w:eastAsia="Courier New" w:hAnsi="Courier New"/>
          <w:sz w:val="16"/>
          <w:szCs w:val="16"/>
          <w:color w:val="auto"/>
        </w:rPr>
        <w:t>LDC is a corporation whose business purpose is investing primarily in a portfolio of equity securities convertible into, or exchangeable for, equity securities in order to achieve its investment objective of significant long-term growth of capital. Interests are offered to insurance companies</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which do not conduct any business in the United States and which are licensed where they do business. MJG Associates is the investment manager of LDC. Mario Gabelli is a portfolio manager for LDC.</w:t>
      </w:r>
    </w:p>
    <w:p>
      <w:pPr>
        <w:spacing w:after="0" w:line="1"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1"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Gemini is a limited liability company whose primary business purpose is to provide advisory services to offshore funds. Marc Gabelli is the President, Chief Investment Officer and majority shareholder of Gemini.</w:t>
      </w:r>
    </w:p>
    <w:p>
      <w:pPr>
        <w:spacing w:after="0" w:line="1"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Foundation is a private foundation. Mario Gabelli is the President, a Trustee and the investment manager of the Foundation.</w:t>
      </w:r>
    </w:p>
    <w:p>
      <w:pPr>
        <w:ind w:right="2099" w:firstLine="843"/>
        <w:spacing w:after="0" w:line="378" w:lineRule="auto"/>
        <w:rPr>
          <w:sz w:val="20"/>
          <w:szCs w:val="20"/>
          <w:color w:val="auto"/>
        </w:rPr>
      </w:pPr>
      <w:r>
        <w:rPr>
          <w:rFonts w:ascii="Courier New" w:cs="Courier New" w:eastAsia="Courier New" w:hAnsi="Courier New"/>
          <w:sz w:val="16"/>
          <w:szCs w:val="16"/>
          <w:color w:val="auto"/>
        </w:rPr>
        <w:t>Lynch is a public company traded on the American Stock Exchange engaged in manufacturing. Spinnaker, a subsidiary of Lynch, is also a public</w:t>
      </w:r>
    </w:p>
    <w:p>
      <w:pPr>
        <w:sectPr>
          <w:pgSz w:w="11900" w:h="16917" w:orient="portrait"/>
          <w:cols w:equalWidth="0" w:num="1">
            <w:col w:w="10219"/>
          </w:cols>
          <w:pgMar w:left="240" w:top="110" w:right="1440" w:bottom="0" w:gutter="0" w:footer="0" w:header="0"/>
        </w:sectPr>
      </w:pPr>
    </w:p>
    <w:bookmarkStart w:id="12" w:name="page13"/>
    <w:bookmarkEnd w:id="12"/>
    <w:p>
      <w:pPr>
        <w:ind w:right="1879"/>
        <w:spacing w:after="0" w:line="247" w:lineRule="auto"/>
        <w:rPr>
          <w:sz w:val="20"/>
          <w:szCs w:val="20"/>
          <w:color w:val="auto"/>
        </w:rPr>
      </w:pPr>
      <w:r>
        <w:rPr>
          <w:rFonts w:ascii="Courier New" w:cs="Courier New" w:eastAsia="Courier New" w:hAnsi="Courier New"/>
          <w:sz w:val="18"/>
          <w:szCs w:val="18"/>
          <w:color w:val="auto"/>
        </w:rPr>
        <w:t>company and its stock is traded through the NASDAQ National Market. Spinnaker is a manufacturing firm with major subsidiaries in specialty adhesive-backed materials business. Interactive, a public company listed on the American Stock Exchange, is a holding company whose principal subsidiary is Brighton.</w:t>
      </w:r>
    </w:p>
    <w:p>
      <w:pPr>
        <w:spacing w:after="0" w:line="3"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Brighton is a holding company with subsidiaries in multimedia and services businesses. Western New Mexico, a subsidiary of Brighton, provides local telephone services in an area in Southwestern New Mexico. Inter-Community, which is also a subsidiary of Brighton, provides local telephone services in an area 40 miles west of Fargo, North Dakota. Lynch and Interactive actively pursue new business ventures and acquisitions. Mario J. Gabelli is a director, Chairman of the Board and a substantial shareholder of Lynch and Interactive.</w:t>
      </w:r>
    </w:p>
    <w:p>
      <w:pPr>
        <w:spacing w:after="0" w:line="1" w:lineRule="exact"/>
        <w:rPr>
          <w:sz w:val="20"/>
          <w:szCs w:val="20"/>
          <w:color w:val="auto"/>
        </w:rPr>
      </w:pPr>
    </w:p>
    <w:p>
      <w:pPr>
        <w:ind w:left="1700" w:right="177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Gabelli Partners, GAMI, GAMCO, Gabelli &amp; Company and GLI are New</w:t>
      </w:r>
    </w:p>
    <w:p>
      <w:pPr>
        <w:ind w:right="1879"/>
        <w:spacing w:after="0" w:line="238" w:lineRule="auto"/>
        <w:rPr>
          <w:sz w:val="20"/>
          <w:szCs w:val="20"/>
          <w:color w:val="auto"/>
        </w:rPr>
      </w:pPr>
      <w:r>
        <w:rPr>
          <w:rFonts w:ascii="Courier New" w:cs="Courier New" w:eastAsia="Courier New" w:hAnsi="Courier New"/>
          <w:sz w:val="18"/>
          <w:szCs w:val="18"/>
          <w:color w:val="auto"/>
        </w:rPr>
        <w:t>York corporations and GSI and Gabelli Advisers are Delaware corporations, each 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401 Theodore Fremd Ave., Rye, New York 10580. MJG Associates is a Connecticut corporation having its principal business office at 401 Theodore Fremd Ave., Rye, New York 10580. Gabelli Associates is a New York limited partnership having its principal business office at One Corporate Center, Rye, New York 10580. ALCE and Multimedia Partners are Delaware limited partnerships each having its principal business office at One Corporate Center, Rye, New York 10580. GAL and GIL are corporations organized under the laws of the British Virgin Islands having their principal business office at c/o Fortis Fund Services (Cayman) Limited, Grand Pavilion, Commercial Centre, 802 West Bay Road, Grand Cayman, British West Indies. GIL II is a corporation organized under the laws of the British Virgin Islands having their principal business office at c/o Coutts &amp; Company (Cayman) Limited, West Bay Road, Grand Cayman, British Wet Indies. Gemini is a Delaware limited liability company with its principal place of business at 401 Theodore Fremd Ave, Rye, New York 10580.</w:t>
      </w:r>
    </w:p>
    <w:p>
      <w:pPr>
        <w:spacing w:after="0" w:line="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LDC is a corporation organized under the laws of the British Virgin Islands having its principal business office at c/o Tremont (Bermuda) Limited, Tremont House, 4 Park Road, Hamilton HM II, Bermuda. The Foundation is a private foundation having its principal offices at 165 West Liberty Street, Reno, Nevada 89501. Lynch is an Indiana corporation having its principal business office 401 Theodore Fremd Ave., Rye, New York 10580. Spinnaker is a Delaware corporation having its principal business office at 251 Welton Street, Handen, CT 06511. Interactive and Brighton are Delaware corporations each having its principal place of business at 401 Theodore Fremd Ave., Rye, New York 10580.</w:t>
      </w:r>
    </w:p>
    <w:p>
      <w:pPr>
        <w:spacing w:after="0" w:line="2"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2220" w:hanging="526"/>
        <w:spacing w:after="0"/>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w:t>
      </w:r>
      <w:r>
        <w:rPr>
          <w:rFonts w:ascii="Courier New" w:cs="Courier New" w:eastAsia="Courier New" w:hAnsi="Courier New"/>
          <w:sz w:val="16"/>
          <w:szCs w:val="16"/>
          <w:color w:val="auto"/>
        </w:rPr>
        <w:t>Source and Amount of Funds or Other Consideration</w:t>
      </w:r>
    </w:p>
    <w:p>
      <w:pPr>
        <w:ind w:left="1700"/>
        <w:spacing w:after="0"/>
        <w:rPr>
          <w:sz w:val="20"/>
          <w:szCs w:val="20"/>
          <w:color w:val="auto"/>
        </w:rPr>
      </w:pPr>
      <w:r>
        <w:rPr>
          <w:rFonts w:ascii="Courier New" w:cs="Courier New" w:eastAsia="Courier New" w:hAnsi="Courier New"/>
          <w:sz w:val="18"/>
          <w:szCs w:val="18"/>
          <w:color w:val="auto"/>
        </w:rPr>
        <w:t>Item 3 to Schedule 13D is amended, in pertinent part, as follows:</w:t>
      </w:r>
    </w:p>
    <w:p>
      <w:pPr>
        <w:ind w:left="1700"/>
        <w:spacing w:after="0"/>
        <w:rPr>
          <w:sz w:val="20"/>
          <w:szCs w:val="20"/>
          <w:color w:val="auto"/>
        </w:rPr>
      </w:pPr>
      <w:r>
        <w:rPr>
          <w:rFonts w:ascii="Courier New" w:cs="Courier New" w:eastAsia="Courier New" w:hAnsi="Courier New"/>
          <w:sz w:val="16"/>
          <w:szCs w:val="16"/>
          <w:color w:val="auto"/>
        </w:rPr>
        <w:t>The Reporting Persons used an aggregate of approximately $3,639,591</w:t>
      </w:r>
    </w:p>
    <w:p>
      <w:pPr>
        <w:spacing w:after="0" w:line="21"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to purchase the additional Securities reported as beneficially owned in Item 5 since the last filing on Schedule 13D. GAMCO used approximately $3,639,591 of funds that were provided through the accounts of certain of its investment advisory clients (and, in the case of some of such accounts at GAMCO, may be through borrowings from client margin accounts) in order to purchase the additional Securities for such clients.</w:t>
      </w:r>
    </w:p>
    <w:p>
      <w:pPr>
        <w:spacing w:after="0" w:line="1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Item 4 to Schedule 13D is amended, in pertinent part, as follows:</w:t>
      </w:r>
    </w:p>
    <w:p>
      <w:pPr>
        <w:ind w:right="1999" w:firstLine="1686"/>
        <w:spacing w:after="0" w:line="256" w:lineRule="auto"/>
        <w:rPr>
          <w:sz w:val="20"/>
          <w:szCs w:val="20"/>
          <w:color w:val="auto"/>
        </w:rPr>
      </w:pPr>
      <w:r>
        <w:rPr>
          <w:rFonts w:ascii="Courier New" w:cs="Courier New" w:eastAsia="Courier New" w:hAnsi="Courier New"/>
          <w:sz w:val="18"/>
          <w:szCs w:val="18"/>
          <w:color w:val="auto"/>
        </w:rPr>
        <w:t>GAMCO, GSI and Gabelli Funds requested an extension of time to consider whether to opt out of the proposed settlement in the class action litigation entitled Klein v. Southwest Gas Corporation. The Issuer's and the plaintiff's legal counsel have consented to the request, which is subject to court approval.</w:t>
      </w:r>
    </w:p>
    <w:p>
      <w:pPr>
        <w:spacing w:after="0" w:line="9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Item 5 to Schedule 13D is amended, in pertinent part, as follows:</w:t>
      </w:r>
    </w:p>
    <w:p>
      <w:pPr>
        <w:ind w:right="2099" w:firstLine="8"/>
        <w:spacing w:after="0" w:line="25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Securities to which this Schedule 13D relates is 3,180,493 shares, representing 9.88% of the 32,172,566 shares outstanding as reported in the Issuer's most recent Form 10-Q for the quarter ended June 30, 2001. The Reporting Persons beneficially own those Securities as follows: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right="8839" w:firstLine="8"/>
        <w:spacing w:after="0" w:line="238"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of Common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GAMCO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2,329,493</w:t>
      </w:r>
    </w:p>
    <w:p>
      <w:pPr>
        <w:sectPr>
          <w:pgSz w:w="11900" w:h="16838" w:orient="portrait"/>
          <w:cols w:equalWidth="0" w:num="1">
            <w:col w:w="10219"/>
          </w:cols>
          <w:pgMar w:left="240" w:top="110"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7.24%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840,000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2.61%</w:t>
      </w:r>
    </w:p>
    <w:p>
      <w:pPr>
        <w:spacing w:after="0"/>
        <w:rPr>
          <w:sz w:val="20"/>
          <w:szCs w:val="20"/>
          <w:color w:val="auto"/>
        </w:rPr>
      </w:pPr>
      <w:r>
        <w:rPr>
          <w:rFonts w:ascii="Courier New" w:cs="Courier New" w:eastAsia="Courier New" w:hAnsi="Courier New"/>
          <w:sz w:val="18"/>
          <w:szCs w:val="18"/>
          <w:color w:val="auto"/>
        </w:rPr>
        <w:t>Foundation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238" w:lineRule="auto"/>
        <w:rPr>
          <w:sz w:val="20"/>
          <w:szCs w:val="20"/>
          <w:color w:val="auto"/>
        </w:rPr>
      </w:pPr>
      <w:r>
        <w:rPr>
          <w:rFonts w:ascii="Courier New" w:cs="Courier New" w:eastAsia="Courier New" w:hAnsi="Courier New"/>
          <w:sz w:val="18"/>
          <w:szCs w:val="18"/>
          <w:color w:val="auto"/>
        </w:rPr>
        <w:t>LDC</w:t>
      </w:r>
    </w:p>
    <w:p>
      <w:pPr>
        <w:spacing w:after="0"/>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 is deemed to have beneficial ownership of the</w:t>
      </w:r>
    </w:p>
    <w:p>
      <w:pPr>
        <w:spacing w:after="0" w:line="3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Securities owned beneficially by each of the foregoing persons other than Marc Gabelli and Gemini. Marc Gabelli is deemed to have beneficial ownership of the Securities owned by Gemini. GSI is deemed to have beneficial ownership of the Securities beneficially owned by ALCE, GMP, GAL, Gabelli Associates and Gabelli &amp;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MJG Associates is deemed to have beneficial ownership of the</w:t>
      </w:r>
    </w:p>
    <w:p>
      <w:pPr>
        <w:ind w:right="2199"/>
        <w:spacing w:after="0" w:line="238" w:lineRule="auto"/>
        <w:rPr>
          <w:sz w:val="20"/>
          <w:szCs w:val="20"/>
          <w:color w:val="auto"/>
        </w:rPr>
      </w:pPr>
      <w:r>
        <w:rPr>
          <w:rFonts w:ascii="Courier New" w:cs="Courier New" w:eastAsia="Courier New" w:hAnsi="Courier New"/>
          <w:sz w:val="18"/>
          <w:szCs w:val="18"/>
          <w:color w:val="auto"/>
        </w:rPr>
        <w:t>Securities beneficially owned by GPP, GIL, GIL II and LDC. GAMI and Gabelli Partners are deemed to have beneficial ownership of the Securities owned beneficially by each of the foregoing persons other than Mario Gabelli, Marc Gabelli, Gemini and the Foundation.</w:t>
      </w:r>
    </w:p>
    <w:p>
      <w:pPr>
        <w:spacing w:after="0"/>
        <w:rPr>
          <w:sz w:val="20"/>
          <w:szCs w:val="20"/>
          <w:color w:val="auto"/>
        </w:rPr>
      </w:pPr>
      <w:r>
        <w:rPr>
          <w:rFonts w:ascii="Courier New" w:cs="Courier New" w:eastAsia="Courier New" w:hAnsi="Courier New"/>
          <w:sz w:val="18"/>
          <w:szCs w:val="18"/>
          <w:color w:val="auto"/>
        </w:rPr>
        <w:t>(b) Each of the Reporting Persons and Covered Persons has the sole</w:t>
      </w:r>
    </w:p>
    <w:p>
      <w:pPr>
        <w:ind w:right="1879"/>
        <w:spacing w:after="0" w:line="270" w:lineRule="auto"/>
        <w:rPr>
          <w:sz w:val="20"/>
          <w:szCs w:val="20"/>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87,000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Marc Gabelli, GAMI, and Gabelli Partners is indirect with respect to Securities beneficially owned directly by other Reporting Persons.</w:t>
      </w:r>
    </w:p>
    <w:p>
      <w:pPr>
        <w:spacing w:after="0" w:line="18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jc w:val="both"/>
        <w:ind w:right="1999" w:firstLine="843"/>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4,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GABELLI FUND, LDC</w:t>
      </w:r>
    </w:p>
    <w:p>
      <w:pPr>
        <w:spacing w:after="0"/>
        <w:rPr>
          <w:sz w:val="20"/>
          <w:szCs w:val="20"/>
          <w:color w:val="auto"/>
        </w:rPr>
      </w:pPr>
      <w:r>
        <w:rPr>
          <w:rFonts w:ascii="Courier New" w:cs="Courier New" w:eastAsia="Courier New" w:hAnsi="Courier New"/>
          <w:sz w:val="18"/>
          <w:szCs w:val="18"/>
          <w:color w:val="auto"/>
        </w:rPr>
        <w:t>GABELLI FOUNDATION,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GABELLI FUNDS,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ind w:left="8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10"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ind w:left="860"/>
        <w:spacing w:after="0"/>
        <w:rPr>
          <w:sz w:val="20"/>
          <w:szCs w:val="20"/>
          <w:color w:val="auto"/>
        </w:rPr>
      </w:pPr>
      <w:r>
        <w:rPr>
          <w:rFonts w:ascii="Courier New" w:cs="Courier New" w:eastAsia="Courier New" w:hAnsi="Courier New"/>
          <w:sz w:val="18"/>
          <w:szCs w:val="18"/>
          <w:color w:val="auto"/>
        </w:rPr>
        <w:t>Executive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 and Directors of the Undersigned</w:t>
      </w:r>
    </w:p>
    <w:p>
      <w:pPr>
        <w:spacing w:after="0" w:line="16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169"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ind w:right="4939"/>
        <w:spacing w:after="0" w:line="253" w:lineRule="auto"/>
        <w:rPr>
          <w:sz w:val="20"/>
          <w:szCs w:val="20"/>
          <w:color w:val="auto"/>
        </w:rPr>
      </w:pPr>
      <w:r>
        <w:rPr>
          <w:rFonts w:ascii="Courier New" w:cs="Courier New" w:eastAsia="Courier New" w:hAnsi="Courier New"/>
          <w:sz w:val="18"/>
          <w:szCs w:val="18"/>
          <w:color w:val="auto"/>
        </w:rPr>
        <w:t>Chief Executive Officer and Chief Investment Officer of Gabelli Group Capital Partners, Inc., Gabelli Asset Management Inc., and GAMCO Investors, Inc.; Director/Trustee of all registered investment companies advised by Gabelli Funds, LLC; Chairman and Chief Executive Officer of Lynch Interactive Corporation; Vice Chairman of Lynch Corporation.</w:t>
      </w:r>
    </w:p>
    <w:p>
      <w:pPr>
        <w:spacing w:after="0" w:line="1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Black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Chairman of the Board of Directors of Oak</w:t>
      </w:r>
    </w:p>
    <w:p>
      <w:pPr>
        <w:spacing w:after="0" w:line="238" w:lineRule="auto"/>
        <w:rPr>
          <w:sz w:val="20"/>
          <w:szCs w:val="20"/>
          <w:color w:val="auto"/>
        </w:rPr>
      </w:pPr>
      <w:r>
        <w:rPr>
          <w:rFonts w:ascii="Courier New" w:cs="Courier New" w:eastAsia="Courier New" w:hAnsi="Courier New"/>
          <w:sz w:val="18"/>
          <w:szCs w:val="18"/>
          <w:color w:val="auto"/>
        </w:rPr>
        <w:t>Technology, Inc.; Chairman of ECRM; Director of</w:t>
      </w:r>
    </w:p>
    <w:p>
      <w:pPr>
        <w:spacing w:after="0"/>
        <w:rPr>
          <w:sz w:val="20"/>
          <w:szCs w:val="20"/>
          <w:color w:val="auto"/>
        </w:rPr>
      </w:pPr>
      <w:r>
        <w:rPr>
          <w:rFonts w:ascii="Courier New" w:cs="Courier New" w:eastAsia="Courier New" w:hAnsi="Courier New"/>
          <w:sz w:val="18"/>
          <w:szCs w:val="18"/>
          <w:color w:val="auto"/>
        </w:rPr>
        <w:t>The Morgan Group, Inc.; General Partner of KBA</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Parker Plaza</w:t>
      </w:r>
    </w:p>
    <w:p>
      <w:pPr>
        <w:spacing w:after="0" w:line="238" w:lineRule="auto"/>
        <w:rPr>
          <w:sz w:val="20"/>
          <w:szCs w:val="20"/>
          <w:color w:val="auto"/>
        </w:rPr>
      </w:pPr>
      <w:r>
        <w:rPr>
          <w:rFonts w:ascii="Courier New" w:cs="Courier New" w:eastAsia="Courier New" w:hAnsi="Courier New"/>
          <w:sz w:val="18"/>
          <w:szCs w:val="18"/>
          <w:color w:val="auto"/>
        </w:rPr>
        <w:t>400 Kelby Street</w:t>
      </w:r>
    </w:p>
    <w:p>
      <w:pPr>
        <w:spacing w:after="0"/>
        <w:tabs>
          <w:tab w:leader="none" w:pos="1560" w:val="left"/>
        </w:tabs>
        <w:rPr>
          <w:sz w:val="20"/>
          <w:szCs w:val="20"/>
          <w:color w:val="auto"/>
        </w:rPr>
      </w:pPr>
      <w:r>
        <w:rPr>
          <w:rFonts w:ascii="Courier New" w:cs="Courier New" w:eastAsia="Courier New" w:hAnsi="Courier New"/>
          <w:sz w:val="18"/>
          <w:szCs w:val="18"/>
          <w:color w:val="auto"/>
        </w:rPr>
        <w:t>Fort Lee, NJ</w:t>
        <w:tab/>
        <w:t>07029</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Director of The Morgan Group,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&amp; Treasurer</w:t>
      </w:r>
    </w:p>
    <w:p>
      <w:pPr>
        <w:spacing w:after="0" w:line="238" w:lineRule="auto"/>
        <w:rPr>
          <w:sz w:val="20"/>
          <w:szCs w:val="20"/>
          <w:color w:val="auto"/>
        </w:rPr>
      </w:pPr>
      <w:r>
        <w:rPr>
          <w:rFonts w:ascii="Courier New" w:cs="Courier New" w:eastAsia="Courier New" w:hAnsi="Courier New"/>
          <w:sz w:val="18"/>
          <w:szCs w:val="18"/>
          <w:color w:val="auto"/>
        </w:rPr>
        <w:t>United Holdings Co., Inc.</w:t>
      </w:r>
    </w:p>
    <w:p>
      <w:pPr>
        <w:spacing w:after="0"/>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Eamon M. Kelly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Professor</w:t>
      </w:r>
    </w:p>
    <w:p>
      <w:pPr>
        <w:spacing w:after="0" w:line="238" w:lineRule="auto"/>
        <w:rPr>
          <w:sz w:val="20"/>
          <w:szCs w:val="20"/>
          <w:color w:val="auto"/>
        </w:rPr>
      </w:pPr>
      <w:r>
        <w:rPr>
          <w:rFonts w:ascii="Courier New" w:cs="Courier New" w:eastAsia="Courier New" w:hAnsi="Courier New"/>
          <w:sz w:val="18"/>
          <w:szCs w:val="18"/>
          <w:color w:val="auto"/>
        </w:rPr>
        <w:t>Payson Center for International</w:t>
      </w:r>
    </w:p>
    <w:p>
      <w:pPr>
        <w:spacing w:after="0"/>
        <w:rPr>
          <w:sz w:val="20"/>
          <w:szCs w:val="20"/>
          <w:color w:val="auto"/>
        </w:rPr>
      </w:pPr>
      <w:r>
        <w:rPr>
          <w:rFonts w:ascii="Courier New" w:cs="Courier New" w:eastAsia="Courier New" w:hAnsi="Courier New"/>
          <w:sz w:val="18"/>
          <w:szCs w:val="18"/>
          <w:color w:val="auto"/>
        </w:rPr>
        <w:t>Development Technology Transfer</w:t>
      </w:r>
    </w:p>
    <w:p>
      <w:pPr>
        <w:sectPr>
          <w:pgSz w:w="11900" w:h="16838" w:orient="portrait"/>
          <w:cols w:equalWidth="0" w:num="1">
            <w:col w:w="10219"/>
          </w:cols>
          <w:pgMar w:left="240" w:top="718"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Tulane University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Gibson Hall</w:t>
      </w:r>
    </w:p>
    <w:p>
      <w:pPr>
        <w:spacing w:after="0" w:line="238" w:lineRule="auto"/>
        <w:rPr>
          <w:sz w:val="20"/>
          <w:szCs w:val="20"/>
          <w:color w:val="auto"/>
        </w:rPr>
      </w:pPr>
      <w:r>
        <w:rPr>
          <w:rFonts w:ascii="Courier New" w:cs="Courier New" w:eastAsia="Courier New" w:hAnsi="Courier New"/>
          <w:sz w:val="18"/>
          <w:szCs w:val="18"/>
          <w:color w:val="auto"/>
        </w:rPr>
        <w:t>6823 St. Charles Avenue</w:t>
      </w:r>
    </w:p>
    <w:p>
      <w:pPr>
        <w:spacing w:after="0"/>
        <w:tabs>
          <w:tab w:leader="none" w:pos="1880" w:val="left"/>
        </w:tabs>
        <w:rPr>
          <w:sz w:val="20"/>
          <w:szCs w:val="20"/>
          <w:color w:val="auto"/>
        </w:rPr>
      </w:pPr>
      <w:r>
        <w:rPr>
          <w:rFonts w:ascii="Courier New" w:cs="Courier New" w:eastAsia="Courier New" w:hAnsi="Courier New"/>
          <w:sz w:val="18"/>
          <w:szCs w:val="18"/>
          <w:color w:val="auto"/>
        </w:rPr>
        <w:t>New Orleans, LA</w:t>
      </w:r>
      <w:r>
        <w:rPr>
          <w:sz w:val="20"/>
          <w:szCs w:val="20"/>
          <w:color w:val="auto"/>
        </w:rPr>
        <w:tab/>
      </w:r>
      <w:r>
        <w:rPr>
          <w:rFonts w:ascii="Courier New" w:cs="Courier New" w:eastAsia="Courier New" w:hAnsi="Courier New"/>
          <w:sz w:val="18"/>
          <w:szCs w:val="18"/>
          <w:color w:val="auto"/>
        </w:rPr>
        <w:t>70118</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Arnold M. Reichman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Outercurve Technologies</w:t>
      </w:r>
    </w:p>
    <w:p>
      <w:pPr>
        <w:spacing w:after="0"/>
        <w:rPr>
          <w:sz w:val="20"/>
          <w:szCs w:val="20"/>
          <w:color w:val="auto"/>
        </w:rPr>
      </w:pPr>
      <w:r>
        <w:rPr>
          <w:rFonts w:ascii="Courier New" w:cs="Courier New" w:eastAsia="Courier New" w:hAnsi="Courier New"/>
          <w:sz w:val="18"/>
          <w:szCs w:val="18"/>
          <w:color w:val="auto"/>
        </w:rPr>
        <w:t>609 Greenwich Street</w:t>
      </w:r>
    </w:p>
    <w:p>
      <w:pPr>
        <w:spacing w:after="0"/>
        <w:rPr>
          <w:sz w:val="20"/>
          <w:szCs w:val="20"/>
          <w:color w:val="auto"/>
        </w:rPr>
      </w:pPr>
      <w:r>
        <w:rPr>
          <w:rFonts w:ascii="Courier New" w:cs="Courier New" w:eastAsia="Courier New" w:hAnsi="Courier New"/>
          <w:sz w:val="18"/>
          <w:szCs w:val="18"/>
          <w:color w:val="auto"/>
        </w:rPr>
        <w:t>New York, NY 10014</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Managing Director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Matthew R.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Trading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One Corporate Center</w:t>
      </w:r>
    </w:p>
    <w:p>
      <w:pPr>
        <w:spacing w:after="0"/>
        <w:rPr>
          <w:sz w:val="20"/>
          <w:szCs w:val="20"/>
          <w:color w:val="auto"/>
        </w:rPr>
      </w:pPr>
      <w:r>
        <w:rPr>
          <w:rFonts w:ascii="Courier New" w:cs="Courier New" w:eastAsia="Courier New" w:hAnsi="Courier New"/>
          <w:sz w:val="18"/>
          <w:szCs w:val="18"/>
          <w:color w:val="auto"/>
        </w:rPr>
        <w:t>Rye, New York 10580</w:t>
      </w:r>
    </w:p>
    <w:p>
      <w:pPr>
        <w:spacing w:after="0"/>
        <w:rPr>
          <w:sz w:val="20"/>
          <w:szCs w:val="20"/>
          <w:color w:val="auto"/>
        </w:rPr>
      </w:pPr>
      <w:r>
        <w:rPr>
          <w:rFonts w:ascii="Courier New" w:cs="Courier New" w:eastAsia="Courier New" w:hAnsi="Courier New"/>
          <w:sz w:val="18"/>
          <w:szCs w:val="18"/>
          <w:color w:val="auto"/>
        </w:rPr>
        <w:t>Officers: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C. Avansino,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rPr>
          <w:sz w:val="20"/>
          <w:szCs w:val="20"/>
          <w:color w:val="auto"/>
        </w:rPr>
      </w:pPr>
      <w:r>
        <w:rPr>
          <w:rFonts w:ascii="Courier New" w:cs="Courier New" w:eastAsia="Courier New" w:hAnsi="Courier New"/>
          <w:sz w:val="18"/>
          <w:szCs w:val="18"/>
          <w:color w:val="auto"/>
        </w:rPr>
        <w:t>E.L. Wiegand Foundation</w:t>
      </w:r>
    </w:p>
    <w:p>
      <w:pPr>
        <w:spacing w:after="0" w:line="238" w:lineRule="auto"/>
        <w:rPr>
          <w:sz w:val="20"/>
          <w:szCs w:val="20"/>
          <w:color w:val="auto"/>
        </w:rPr>
      </w:pPr>
      <w:r>
        <w:rPr>
          <w:rFonts w:ascii="Courier New" w:cs="Courier New" w:eastAsia="Courier New" w:hAnsi="Courier New"/>
          <w:sz w:val="18"/>
          <w:szCs w:val="18"/>
          <w:color w:val="auto"/>
        </w:rPr>
        <w:t>165 West Liberty Street</w:t>
      </w:r>
    </w:p>
    <w:p>
      <w:pPr>
        <w:spacing w:after="0"/>
        <w:rPr>
          <w:sz w:val="20"/>
          <w:szCs w:val="20"/>
          <w:color w:val="auto"/>
        </w:rPr>
      </w:pPr>
      <w:r>
        <w:rPr>
          <w:rFonts w:ascii="Courier New" w:cs="Courier New" w:eastAsia="Courier New" w:hAnsi="Courier New"/>
          <w:sz w:val="18"/>
          <w:szCs w:val="18"/>
          <w:color w:val="auto"/>
        </w:rPr>
        <w:t>Reno, NV 89501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B. Guenther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Philharmonic</w:t>
      </w:r>
    </w:p>
    <w:p>
      <w:pPr>
        <w:spacing w:after="0" w:line="238" w:lineRule="auto"/>
        <w:rPr>
          <w:sz w:val="20"/>
          <w:szCs w:val="20"/>
          <w:color w:val="auto"/>
        </w:rPr>
      </w:pPr>
      <w:r>
        <w:rPr>
          <w:rFonts w:ascii="Courier New" w:cs="Courier New" w:eastAsia="Courier New" w:hAnsi="Courier New"/>
          <w:sz w:val="18"/>
          <w:szCs w:val="18"/>
          <w:color w:val="auto"/>
        </w:rPr>
        <w:t>10 Lincoln Center Plaza</w:t>
      </w:r>
    </w:p>
    <w:p>
      <w:pPr>
        <w:spacing w:after="0"/>
        <w:rPr>
          <w:sz w:val="20"/>
          <w:szCs w:val="20"/>
          <w:color w:val="auto"/>
        </w:rPr>
      </w:pPr>
      <w:r>
        <w:rPr>
          <w:rFonts w:ascii="Courier New" w:cs="Courier New" w:eastAsia="Courier New" w:hAnsi="Courier New"/>
          <w:sz w:val="18"/>
          <w:szCs w:val="18"/>
          <w:color w:val="auto"/>
        </w:rPr>
        <w:t>New York, NY 10023</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SPACE.com</w:t>
      </w:r>
    </w:p>
    <w:p>
      <w:pPr>
        <w:spacing w:after="0"/>
        <w:rPr>
          <w:sz w:val="20"/>
          <w:szCs w:val="20"/>
          <w:color w:val="auto"/>
        </w:rPr>
      </w:pPr>
      <w:r>
        <w:rPr>
          <w:rFonts w:ascii="Courier New" w:cs="Courier New" w:eastAsia="Courier New" w:hAnsi="Courier New"/>
          <w:sz w:val="18"/>
          <w:szCs w:val="18"/>
          <w:color w:val="auto"/>
        </w:rPr>
        <w:t>120 West 45th Street</w:t>
      </w:r>
    </w:p>
    <w:p>
      <w:pPr>
        <w:spacing w:after="0"/>
        <w:rPr>
          <w:sz w:val="20"/>
          <w:szCs w:val="20"/>
          <w:color w:val="auto"/>
        </w:rPr>
      </w:pPr>
      <w:r>
        <w:rPr>
          <w:rFonts w:ascii="Courier New" w:cs="Courier New" w:eastAsia="Courier New" w:hAnsi="Courier New"/>
          <w:sz w:val="18"/>
          <w:szCs w:val="18"/>
          <w:color w:val="auto"/>
        </w:rPr>
        <w:t>New York, NY 10036</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Eamon M. Kelly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 Oppenheim jr. &amp; Cie.</w:t>
      </w:r>
    </w:p>
    <w:p>
      <w:pPr>
        <w:spacing w:after="0" w:line="238" w:lineRule="auto"/>
        <w:rPr>
          <w:sz w:val="20"/>
          <w:szCs w:val="20"/>
          <w:color w:val="auto"/>
        </w:rPr>
      </w:pPr>
      <w:r>
        <w:rPr>
          <w:rFonts w:ascii="Courier New" w:cs="Courier New" w:eastAsia="Courier New" w:hAnsi="Courier New"/>
          <w:sz w:val="18"/>
          <w:szCs w:val="18"/>
          <w:color w:val="auto"/>
        </w:rPr>
        <w:t>Bockenheimer Landstrasse 20</w:t>
      </w:r>
    </w:p>
    <w:p>
      <w:pPr>
        <w:spacing w:after="0"/>
        <w:rPr>
          <w:sz w:val="20"/>
          <w:szCs w:val="20"/>
          <w:color w:val="auto"/>
        </w:rPr>
      </w:pPr>
      <w:r>
        <w:rPr>
          <w:rFonts w:ascii="Courier New" w:cs="Courier New" w:eastAsia="Courier New" w:hAnsi="Courier New"/>
          <w:sz w:val="18"/>
          <w:szCs w:val="18"/>
          <w:color w:val="auto"/>
        </w:rPr>
        <w:t>D-6000 FRANKFURT AM MAIN</w:t>
      </w:r>
    </w:p>
    <w:p>
      <w:pPr>
        <w:spacing w:after="0"/>
        <w:rPr>
          <w:sz w:val="20"/>
          <w:szCs w:val="20"/>
          <w:color w:val="auto"/>
        </w:rPr>
      </w:pPr>
      <w:r>
        <w:rPr>
          <w:rFonts w:ascii="Courier New" w:cs="Courier New" w:eastAsia="Courier New" w:hAnsi="Courier New"/>
          <w:sz w:val="18"/>
          <w:szCs w:val="18"/>
          <w:color w:val="auto"/>
        </w:rPr>
        <w:t>Germany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ectPr>
          <w:pgSz w:w="11900" w:h="16838" w:orient="portrait"/>
          <w:cols w:equalWidth="0" w:num="1">
            <w:col w:w="10219"/>
          </w:cols>
          <w:pgMar w:left="240" w:top="110"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ind w:left="860"/>
        <w:spacing w:after="0"/>
        <w:rPr>
          <w:sz w:val="20"/>
          <w:szCs w:val="20"/>
          <w:color w:val="auto"/>
        </w:rPr>
      </w:pPr>
      <w:r>
        <w:rPr>
          <w:rFonts w:ascii="Courier New" w:cs="Courier New" w:eastAsia="Courier New" w:hAnsi="Courier New"/>
          <w:sz w:val="18"/>
          <w:szCs w:val="18"/>
          <w:color w:val="auto"/>
        </w:rPr>
        <w:t>Regina M. Pitaro</w:t>
      </w:r>
    </w:p>
    <w:p>
      <w:pPr>
        <w:ind w:left="860"/>
        <w:spacing w:after="0" w:line="238" w:lineRule="auto"/>
        <w:rPr>
          <w:sz w:val="20"/>
          <w:szCs w:val="20"/>
          <w:color w:val="auto"/>
        </w:rPr>
      </w:pPr>
      <w:r>
        <w:rPr>
          <w:rFonts w:ascii="Courier New" w:cs="Courier New" w:eastAsia="Courier New" w:hAnsi="Courier New"/>
          <w:sz w:val="18"/>
          <w:szCs w:val="18"/>
          <w:color w:val="auto"/>
        </w:rPr>
        <w:t>F. William Scholz, II</w:t>
      </w:r>
    </w:p>
    <w:p>
      <w:pPr>
        <w:ind w:left="860"/>
        <w:spacing w:after="0"/>
        <w:rPr>
          <w:sz w:val="20"/>
          <w:szCs w:val="20"/>
          <w:color w:val="auto"/>
        </w:rPr>
      </w:pPr>
      <w:r>
        <w:rPr>
          <w:rFonts w:ascii="Courier New" w:cs="Courier New" w:eastAsia="Courier New" w:hAnsi="Courier New"/>
          <w:sz w:val="18"/>
          <w:szCs w:val="18"/>
          <w:color w:val="auto"/>
        </w:rPr>
        <w:t>William S. Selby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Chief Investment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rPr>
          <w:sz w:val="20"/>
          <w:szCs w:val="20"/>
          <w:color w:val="auto"/>
        </w:rPr>
      </w:pPr>
      <w:r>
        <w:rPr>
          <w:rFonts w:ascii="Courier New" w:cs="Courier New" w:eastAsia="Courier New" w:hAnsi="Courier New"/>
          <w:sz w:val="18"/>
          <w:szCs w:val="18"/>
          <w:color w:val="auto"/>
        </w:rPr>
        <w:t>Officers: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Gus Coutsouros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D. Gabelli</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Operating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312" w:right="1440" w:bottom="159" w:gutter="0" w:footer="0" w:header="0"/>
        </w:sectPr>
      </w:pPr>
    </w:p>
    <w:bookmarkStart w:id="17" w:name="page18"/>
    <w:bookmarkEnd w:id="17"/>
    <w:p>
      <w:pPr>
        <w:ind w:left="860"/>
        <w:spacing w:after="0"/>
        <w:rPr>
          <w:sz w:val="20"/>
          <w:szCs w:val="20"/>
          <w:color w:val="auto"/>
        </w:rPr>
      </w:pPr>
      <w:r>
        <w:rPr>
          <w:rFonts w:ascii="Courier New" w:cs="Courier New" w:eastAsia="Courier New" w:hAnsi="Courier New"/>
          <w:sz w:val="18"/>
          <w:szCs w:val="18"/>
          <w:color w:val="auto"/>
        </w:rPr>
        <w:t>Robert W. Blake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of W. R. Blake &amp; Sons, Inc.</w:t>
      </w:r>
    </w:p>
    <w:p>
      <w:pPr>
        <w:spacing w:after="0" w:line="238" w:lineRule="auto"/>
        <w:rPr>
          <w:sz w:val="20"/>
          <w:szCs w:val="20"/>
          <w:color w:val="auto"/>
        </w:rPr>
      </w:pPr>
      <w:r>
        <w:rPr>
          <w:rFonts w:ascii="Courier New" w:cs="Courier New" w:eastAsia="Courier New" w:hAnsi="Courier New"/>
          <w:sz w:val="18"/>
          <w:szCs w:val="18"/>
          <w:color w:val="auto"/>
        </w:rPr>
        <w:t>196-20 Northern Boulevard</w:t>
      </w:r>
    </w:p>
    <w:p>
      <w:pPr>
        <w:spacing w:after="0"/>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Partner of ALCE Partners, L.P.</w:t>
      </w:r>
    </w:p>
    <w:p>
      <w:pPr>
        <w:spacing w:after="0" w:line="238" w:lineRule="auto"/>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President-Finance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&amp; Interim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&amp; Interim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Mutual Funds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Walter K. Walsh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GLI,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Investment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(Cayman)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Nominees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(Cayman) Limited</w:t>
      </w:r>
    </w:p>
    <w:p>
      <w:pPr>
        <w:sectPr>
          <w:pgSz w:w="11900" w:h="16838" w:orient="portrait"/>
          <w:cols w:equalWidth="0" w:num="1">
            <w:col w:w="10219"/>
          </w:cols>
          <w:pgMar w:left="240" w:top="110"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Kevin Bromley (2)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Treasurer and Assistant Secretary</w:t>
      </w:r>
    </w:p>
    <w:p>
      <w:pPr>
        <w:spacing w:after="0" w:line="192"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Sandra Wright (2)</w:t>
      </w:r>
    </w:p>
    <w:p>
      <w:pPr>
        <w:spacing w:after="0" w:line="31"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Secretary and Assistant Treasurer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International Limited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(Cayman)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Johann S. Wong (4)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Tremont (Bermuda) Limited</w:t>
      </w:r>
    </w:p>
    <w:p>
      <w:pPr>
        <w:spacing w:after="0" w:line="238" w:lineRule="auto"/>
        <w:rPr>
          <w:sz w:val="20"/>
          <w:szCs w:val="20"/>
          <w:color w:val="auto"/>
        </w:rPr>
      </w:pPr>
      <w:r>
        <w:rPr>
          <w:rFonts w:ascii="Courier New" w:cs="Courier New" w:eastAsia="Courier New" w:hAnsi="Courier New"/>
          <w:sz w:val="18"/>
          <w:szCs w:val="18"/>
          <w:color w:val="auto"/>
        </w:rPr>
        <w:t>Tremont House</w:t>
      </w:r>
    </w:p>
    <w:p>
      <w:pPr>
        <w:spacing w:after="0"/>
        <w:rPr>
          <w:sz w:val="20"/>
          <w:szCs w:val="20"/>
          <w:color w:val="auto"/>
        </w:rPr>
      </w:pPr>
      <w:r>
        <w:rPr>
          <w:rFonts w:ascii="Courier New" w:cs="Courier New" w:eastAsia="Courier New" w:hAnsi="Courier New"/>
          <w:sz w:val="18"/>
          <w:szCs w:val="18"/>
          <w:color w:val="auto"/>
        </w:rPr>
        <w:t>4 Park Road</w:t>
      </w:r>
    </w:p>
    <w:p>
      <w:pPr>
        <w:spacing w:after="0" w:line="238" w:lineRule="auto"/>
        <w:rPr>
          <w:sz w:val="20"/>
          <w:szCs w:val="20"/>
          <w:color w:val="auto"/>
        </w:rPr>
      </w:pPr>
      <w:r>
        <w:rPr>
          <w:rFonts w:ascii="Courier New" w:cs="Courier New" w:eastAsia="Courier New" w:hAnsi="Courier New"/>
          <w:sz w:val="18"/>
          <w:szCs w:val="18"/>
          <w:color w:val="auto"/>
        </w:rPr>
        <w:t>Hamilton, HM11</w:t>
      </w:r>
    </w:p>
    <w:p>
      <w:pPr>
        <w:spacing w:after="0"/>
        <w:rPr>
          <w:sz w:val="20"/>
          <w:szCs w:val="20"/>
          <w:color w:val="auto"/>
        </w:rPr>
      </w:pPr>
      <w:r>
        <w:rPr>
          <w:rFonts w:ascii="Courier New" w:cs="Courier New" w:eastAsia="Courier New" w:hAnsi="Courier New"/>
          <w:sz w:val="18"/>
          <w:szCs w:val="18"/>
          <w:color w:val="auto"/>
        </w:rPr>
        <w:t>Bermuda</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Peter D. Anderson (5)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Givens Hall Bank &amp; Trust</w:t>
      </w:r>
    </w:p>
    <w:p>
      <w:pPr>
        <w:spacing w:after="0" w:line="238" w:lineRule="auto"/>
        <w:rPr>
          <w:sz w:val="20"/>
          <w:szCs w:val="20"/>
          <w:color w:val="auto"/>
        </w:rPr>
      </w:pPr>
      <w:r>
        <w:rPr>
          <w:rFonts w:ascii="Courier New" w:cs="Courier New" w:eastAsia="Courier New" w:hAnsi="Courier New"/>
          <w:sz w:val="18"/>
          <w:szCs w:val="18"/>
          <w:color w:val="auto"/>
        </w:rPr>
        <w:t>Genesis Building</w:t>
      </w:r>
    </w:p>
    <w:p>
      <w:pPr>
        <w:spacing w:after="0"/>
        <w:rPr>
          <w:sz w:val="20"/>
          <w:szCs w:val="20"/>
          <w:color w:val="auto"/>
        </w:rPr>
      </w:pPr>
      <w:r>
        <w:rPr>
          <w:rFonts w:ascii="Courier New" w:cs="Courier New" w:eastAsia="Courier New" w:hAnsi="Courier New"/>
          <w:sz w:val="18"/>
          <w:szCs w:val="18"/>
          <w:color w:val="auto"/>
        </w:rPr>
        <w:t>P.O. Box 2097</w:t>
      </w:r>
    </w:p>
    <w:p>
      <w:pPr>
        <w:spacing w:after="0" w:line="238" w:lineRule="auto"/>
        <w:rPr>
          <w:sz w:val="20"/>
          <w:szCs w:val="20"/>
          <w:color w:val="auto"/>
        </w:rPr>
      </w:pPr>
      <w:r>
        <w:rPr>
          <w:rFonts w:ascii="Courier New" w:cs="Courier New" w:eastAsia="Courier New" w:hAnsi="Courier New"/>
          <w:sz w:val="18"/>
          <w:szCs w:val="18"/>
          <w:color w:val="auto"/>
        </w:rPr>
        <w:t>Grand Cayman, Cayman Islands</w:t>
      </w:r>
    </w:p>
    <w:p>
      <w:pPr>
        <w:spacing w:after="0"/>
        <w:rPr>
          <w:sz w:val="20"/>
          <w:szCs w:val="20"/>
          <w:color w:val="auto"/>
        </w:rPr>
      </w:pPr>
      <w:r>
        <w:rPr>
          <w:rFonts w:ascii="Courier New" w:cs="Courier New" w:eastAsia="Courier New" w:hAnsi="Courier New"/>
          <w:sz w:val="18"/>
          <w:szCs w:val="18"/>
          <w:color w:val="auto"/>
        </w:rPr>
        <w:t>BWI 3459498141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Global Partners Master</w:t>
      </w:r>
    </w:p>
    <w:p>
      <w:pPr>
        <w:spacing w:after="0" w:line="238" w:lineRule="auto"/>
        <w:rPr>
          <w:sz w:val="20"/>
          <w:szCs w:val="20"/>
          <w:color w:val="auto"/>
        </w:rPr>
      </w:pPr>
      <w:r>
        <w:rPr>
          <w:rFonts w:ascii="Courier New" w:cs="Courier New" w:eastAsia="Courier New" w:hAnsi="Courier New"/>
          <w:sz w:val="18"/>
          <w:szCs w:val="18"/>
          <w:color w:val="auto"/>
        </w:rPr>
        <w:t>Fund, Ltd.</w:t>
      </w: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pacing w:after="0" w:line="238" w:lineRule="auto"/>
        <w:rPr>
          <w:sz w:val="20"/>
          <w:szCs w:val="20"/>
          <w:color w:val="auto"/>
        </w:rPr>
      </w:pPr>
      <w:r>
        <w:rPr>
          <w:rFonts w:ascii="Courier New" w:cs="Courier New" w:eastAsia="Courier New" w:hAnsi="Courier New"/>
          <w:sz w:val="18"/>
          <w:szCs w:val="18"/>
          <w:color w:val="auto"/>
        </w:rPr>
        <w:t>Institutional Capital Markets Bear Stearns</w:t>
      </w:r>
    </w:p>
    <w:p>
      <w:pPr>
        <w:spacing w:after="0"/>
        <w:rPr>
          <w:sz w:val="20"/>
          <w:szCs w:val="20"/>
          <w:color w:val="auto"/>
        </w:rPr>
      </w:pPr>
      <w:r>
        <w:rPr>
          <w:rFonts w:ascii="Courier New" w:cs="Courier New" w:eastAsia="Courier New" w:hAnsi="Courier New"/>
          <w:sz w:val="18"/>
          <w:szCs w:val="18"/>
          <w:color w:val="auto"/>
        </w:rPr>
        <w:t>International Ltd.</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Trader, Gabelli Securities, Inc.</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Antonie Van Ekris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European Partners Master</w:t>
      </w:r>
    </w:p>
    <w:p>
      <w:pPr>
        <w:sectPr>
          <w:pgSz w:w="11900" w:h="16838" w:orient="portrait"/>
          <w:cols w:equalWidth="0" w:num="1">
            <w:col w:w="10219"/>
          </w:cols>
          <w:pgMar w:left="240" w:top="31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Fund, Ltd.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Antonie Van Ekris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 Rye, NY 10580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Consultant, Cerutti Consultants</w:t>
      </w:r>
    </w:p>
    <w:p>
      <w:pPr>
        <w:spacing w:after="0" w:line="238" w:lineRule="auto"/>
        <w:rPr>
          <w:sz w:val="20"/>
          <w:szCs w:val="20"/>
          <w:color w:val="auto"/>
        </w:rPr>
      </w:pPr>
      <w:r>
        <w:rPr>
          <w:rFonts w:ascii="Courier New" w:cs="Courier New" w:eastAsia="Courier New" w:hAnsi="Courier New"/>
          <w:sz w:val="18"/>
          <w:szCs w:val="18"/>
          <w:color w:val="auto"/>
        </w:rPr>
        <w:t>227 McLain Street</w:t>
      </w:r>
    </w:p>
    <w:p>
      <w:pPr>
        <w:spacing w:after="0"/>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AFC Cable Systems, Inc.</w:t>
      </w:r>
    </w:p>
    <w:p>
      <w:pPr>
        <w:spacing w:after="0"/>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Avrum Gray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Gbar Limited Partnership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Chairman</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George E. Fuehrer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Business Development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Roger T. Dexter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 Rye, NY 10580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Florida Light &amp; Power Co.</w:t>
      </w:r>
    </w:p>
    <w:p>
      <w:pPr>
        <w:spacing w:after="0"/>
        <w:rPr>
          <w:sz w:val="20"/>
          <w:szCs w:val="20"/>
          <w:color w:val="auto"/>
        </w:rPr>
      </w:pPr>
      <w:r>
        <w:rPr>
          <w:rFonts w:ascii="Courier New" w:cs="Courier New" w:eastAsia="Courier New" w:hAnsi="Courier New"/>
          <w:sz w:val="18"/>
          <w:szCs w:val="18"/>
          <w:color w:val="auto"/>
        </w:rPr>
        <w:t>P.O. Box 14000</w:t>
      </w:r>
    </w:p>
    <w:p>
      <w:pPr>
        <w:spacing w:after="0" w:line="238" w:lineRule="auto"/>
        <w:rPr>
          <w:sz w:val="20"/>
          <w:szCs w:val="20"/>
          <w:color w:val="auto"/>
        </w:rPr>
      </w:pPr>
      <w:r>
        <w:rPr>
          <w:rFonts w:ascii="Courier New" w:cs="Courier New" w:eastAsia="Courier New" w:hAnsi="Courier New"/>
          <w:sz w:val="18"/>
          <w:szCs w:val="18"/>
          <w:color w:val="auto"/>
        </w:rPr>
        <w:t>700 Universe Blvd.</w:t>
      </w:r>
    </w:p>
    <w:p>
      <w:pPr>
        <w:spacing w:after="0"/>
        <w:rPr>
          <w:sz w:val="20"/>
          <w:szCs w:val="20"/>
          <w:color w:val="auto"/>
        </w:rPr>
      </w:pPr>
      <w:r>
        <w:rPr>
          <w:rFonts w:ascii="Courier New" w:cs="Courier New" w:eastAsia="Courier New" w:hAnsi="Courier New"/>
          <w:sz w:val="18"/>
          <w:szCs w:val="18"/>
          <w:color w:val="auto"/>
        </w:rPr>
        <w:t>Juno Beach, FL 33408</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ectPr>
          <w:pgSz w:w="11900" w:h="16838" w:orient="portrait"/>
          <w:cols w:equalWidth="0" w:num="1">
            <w:col w:w="10219"/>
          </w:cols>
          <w:pgMar w:left="240" w:top="110" w:right="1440" w:bottom="0" w:gutter="0" w:footer="0" w:header="0"/>
        </w:sectPr>
      </w:pPr>
    </w:p>
    <w:bookmarkStart w:id="20" w:name="page21"/>
    <w:bookmarkEnd w:id="20"/>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 of Lynch</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AFC Cable Systems, Inc.</w:t>
      </w:r>
    </w:p>
    <w:p>
      <w:pPr>
        <w:spacing w:after="0"/>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238" w:lineRule="auto"/>
        <w:rPr>
          <w:sz w:val="20"/>
          <w:szCs w:val="20"/>
          <w:color w:val="auto"/>
        </w:rPr>
      </w:pPr>
      <w:r>
        <w:rPr>
          <w:rFonts w:ascii="Courier New" w:cs="Courier New" w:eastAsia="Courier New" w:hAnsi="Courier New"/>
          <w:sz w:val="18"/>
          <w:szCs w:val="18"/>
          <w:color w:val="auto"/>
        </w:rPr>
        <w:t>S. Muoio &amp; Co., LLC</w:t>
      </w:r>
    </w:p>
    <w:p>
      <w:pPr>
        <w:spacing w:after="0"/>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C. Mitchell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Consultant</w:t>
      </w:r>
    </w:p>
    <w:p>
      <w:pPr>
        <w:spacing w:after="0" w:line="238" w:lineRule="auto"/>
        <w:rPr>
          <w:sz w:val="20"/>
          <w:szCs w:val="20"/>
          <w:color w:val="auto"/>
        </w:rPr>
      </w:pPr>
      <w:r>
        <w:rPr>
          <w:rFonts w:ascii="Courier New" w:cs="Courier New" w:eastAsia="Courier New" w:hAnsi="Courier New"/>
          <w:sz w:val="18"/>
          <w:szCs w:val="18"/>
          <w:color w:val="auto"/>
        </w:rPr>
        <w:t>c/o Lynch Corporation</w:t>
      </w:r>
    </w:p>
    <w:p>
      <w:pPr>
        <w:spacing w:after="0"/>
        <w:rPr>
          <w:sz w:val="20"/>
          <w:szCs w:val="20"/>
          <w:color w:val="auto"/>
        </w:rPr>
      </w:pPr>
      <w:r>
        <w:rPr>
          <w:rFonts w:ascii="Courier New" w:cs="Courier New" w:eastAsia="Courier New" w:hAnsi="Courier New"/>
          <w:sz w:val="18"/>
          <w:szCs w:val="18"/>
          <w:color w:val="auto"/>
        </w:rPr>
        <w:t>401 Theodore Fremd Ave.</w:t>
      </w:r>
    </w:p>
    <w:p>
      <w:pPr>
        <w:spacing w:after="0"/>
        <w:rPr>
          <w:sz w:val="20"/>
          <w:szCs w:val="20"/>
          <w:color w:val="auto"/>
        </w:rPr>
      </w:pPr>
      <w:r>
        <w:rPr>
          <w:rFonts w:ascii="Courier New" w:cs="Courier New" w:eastAsia="Courier New" w:hAnsi="Courier New"/>
          <w:sz w:val="18"/>
          <w:szCs w:val="18"/>
          <w:color w:val="auto"/>
        </w:rPr>
        <w:t>Rye, NY 10580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Vincent S. Tese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Lawyer, Investment Adviser and Cable Television</w:t>
      </w:r>
    </w:p>
    <w:p>
      <w:pPr>
        <w:spacing w:after="0" w:line="238" w:lineRule="auto"/>
        <w:rPr>
          <w:sz w:val="20"/>
          <w:szCs w:val="20"/>
          <w:color w:val="auto"/>
        </w:rPr>
      </w:pPr>
      <w:r>
        <w:rPr>
          <w:rFonts w:ascii="Courier New" w:cs="Courier New" w:eastAsia="Courier New" w:hAnsi="Courier New"/>
          <w:sz w:val="18"/>
          <w:szCs w:val="18"/>
          <w:color w:val="auto"/>
        </w:rPr>
        <w:t>Executive</w:t>
      </w:r>
    </w:p>
    <w:p>
      <w:pPr>
        <w:spacing w:after="0"/>
        <w:rPr>
          <w:sz w:val="20"/>
          <w:szCs w:val="20"/>
          <w:color w:val="auto"/>
        </w:rPr>
      </w:pPr>
      <w:r>
        <w:rPr>
          <w:rFonts w:ascii="Courier New" w:cs="Courier New" w:eastAsia="Courier New" w:hAnsi="Courier New"/>
          <w:sz w:val="18"/>
          <w:szCs w:val="18"/>
          <w:color w:val="auto"/>
        </w:rPr>
        <w:t>c/o Bear Stearns &amp; Company, Inc.</w:t>
      </w:r>
    </w:p>
    <w:p>
      <w:pPr>
        <w:spacing w:after="0" w:line="238" w:lineRule="auto"/>
        <w:rPr>
          <w:sz w:val="20"/>
          <w:szCs w:val="20"/>
          <w:color w:val="auto"/>
        </w:rPr>
      </w:pPr>
      <w:r>
        <w:rPr>
          <w:rFonts w:ascii="Courier New" w:cs="Courier New" w:eastAsia="Courier New" w:hAnsi="Courier New"/>
          <w:sz w:val="18"/>
          <w:szCs w:val="18"/>
          <w:color w:val="auto"/>
        </w:rPr>
        <w:t>245 Park Avenue, 19th Floor</w:t>
      </w:r>
    </w:p>
    <w:p>
      <w:pPr>
        <w:spacing w:after="0"/>
        <w:rPr>
          <w:sz w:val="20"/>
          <w:szCs w:val="20"/>
          <w:color w:val="auto"/>
        </w:rPr>
      </w:pPr>
      <w:r>
        <w:rPr>
          <w:rFonts w:ascii="Courier New" w:cs="Courier New" w:eastAsia="Courier New" w:hAnsi="Courier New"/>
          <w:sz w:val="18"/>
          <w:szCs w:val="18"/>
          <w:color w:val="auto"/>
        </w:rPr>
        <w:t>New York, NY 10167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Brighton Communications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 Rye, NY 10580</w:t>
      </w: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A. Hurwich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Controller, Tresurer and Assistant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Spinnaker Industries, Inc.,</w:t>
      </w:r>
    </w:p>
    <w:p>
      <w:pPr>
        <w:spacing w:after="0" w:line="31"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600 N. Pearl Street - Suite 2160, Dallas, TX</w:t>
      </w:r>
      <w:r>
        <w:rPr>
          <w:sz w:val="20"/>
          <w:szCs w:val="20"/>
          <w:color w:val="auto"/>
        </w:rPr>
        <w:tab/>
      </w:r>
      <w:r>
        <w:rPr>
          <w:rFonts w:ascii="Courier New" w:cs="Courier New" w:eastAsia="Courier New" w:hAnsi="Courier New"/>
          <w:sz w:val="16"/>
          <w:szCs w:val="16"/>
          <w:color w:val="auto"/>
        </w:rPr>
        <w:t>75201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P. Rhein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5003 Central Avenue</w:t>
      </w:r>
    </w:p>
    <w:p>
      <w:pPr>
        <w:spacing w:after="0"/>
        <w:tabs>
          <w:tab w:leader="none" w:pos="1780" w:val="left"/>
        </w:tabs>
        <w:rPr>
          <w:sz w:val="20"/>
          <w:szCs w:val="20"/>
          <w:color w:val="auto"/>
        </w:rPr>
      </w:pPr>
      <w:r>
        <w:rPr>
          <w:rFonts w:ascii="Courier New" w:cs="Courier New" w:eastAsia="Courier New" w:hAnsi="Courier New"/>
          <w:sz w:val="18"/>
          <w:szCs w:val="18"/>
          <w:color w:val="auto"/>
        </w:rPr>
        <w:t>Ocean City, NJ</w:t>
      </w:r>
      <w:r>
        <w:rPr>
          <w:sz w:val="20"/>
          <w:szCs w:val="20"/>
          <w:color w:val="auto"/>
        </w:rPr>
        <w:tab/>
      </w:r>
      <w:r>
        <w:rPr>
          <w:rFonts w:ascii="Courier New" w:cs="Courier New" w:eastAsia="Courier New" w:hAnsi="Courier New"/>
          <w:sz w:val="16"/>
          <w:szCs w:val="16"/>
          <w:color w:val="auto"/>
        </w:rPr>
        <w:t>08226</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Boyle Group, Inc.</w:t>
      </w:r>
    </w:p>
    <w:p>
      <w:pPr>
        <w:spacing w:after="0" w:line="238" w:lineRule="auto"/>
        <w:rPr>
          <w:sz w:val="20"/>
          <w:szCs w:val="20"/>
          <w:color w:val="auto"/>
        </w:rPr>
      </w:pPr>
      <w:r>
        <w:rPr>
          <w:rFonts w:ascii="Courier New" w:cs="Courier New" w:eastAsia="Courier New" w:hAnsi="Courier New"/>
          <w:sz w:val="18"/>
          <w:szCs w:val="18"/>
          <w:color w:val="auto"/>
        </w:rPr>
        <w:t>6110 Blue Circle Drive - Suite 250</w:t>
      </w:r>
    </w:p>
    <w:p>
      <w:pPr>
        <w:spacing w:after="0"/>
        <w:tabs>
          <w:tab w:leader="none" w:pos="1780" w:val="left"/>
        </w:tabs>
        <w:rPr>
          <w:sz w:val="20"/>
          <w:szCs w:val="20"/>
          <w:color w:val="auto"/>
        </w:rPr>
      </w:pPr>
      <w:r>
        <w:rPr>
          <w:rFonts w:ascii="Courier New" w:cs="Courier New" w:eastAsia="Courier New" w:hAnsi="Courier New"/>
          <w:sz w:val="18"/>
          <w:szCs w:val="18"/>
          <w:color w:val="auto"/>
        </w:rPr>
        <w:t>Minnetonka, MN</w:t>
      </w:r>
      <w:r>
        <w:rPr>
          <w:sz w:val="20"/>
          <w:szCs w:val="20"/>
          <w:color w:val="auto"/>
        </w:rPr>
        <w:tab/>
      </w:r>
      <w:r>
        <w:rPr>
          <w:rFonts w:ascii="Courier New" w:cs="Courier New" w:eastAsia="Courier New" w:hAnsi="Courier New"/>
          <w:sz w:val="16"/>
          <w:szCs w:val="16"/>
          <w:color w:val="auto"/>
        </w:rPr>
        <w:t>55343</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Boyle, Fleming, George &amp; Co., Inc.</w:t>
      </w:r>
    </w:p>
    <w:p>
      <w:pPr>
        <w:spacing w:after="0" w:line="238" w:lineRule="auto"/>
        <w:rPr>
          <w:sz w:val="20"/>
          <w:szCs w:val="20"/>
          <w:color w:val="auto"/>
        </w:rPr>
      </w:pPr>
      <w:r>
        <w:rPr>
          <w:rFonts w:ascii="Courier New" w:cs="Courier New" w:eastAsia="Courier New" w:hAnsi="Courier New"/>
          <w:sz w:val="18"/>
          <w:szCs w:val="18"/>
          <w:color w:val="auto"/>
        </w:rPr>
        <w:t>600 N. Pearl Street - Suite 2160</w:t>
      </w:r>
    </w:p>
    <w:p>
      <w:pPr>
        <w:spacing w:after="0"/>
        <w:tabs>
          <w:tab w:leader="none" w:pos="13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75201</w:t>
      </w:r>
    </w:p>
    <w:p>
      <w:pPr>
        <w:sectPr>
          <w:pgSz w:w="11900" w:h="16838" w:orient="portrait"/>
          <w:cols w:equalWidth="0" w:num="1">
            <w:col w:w="10219"/>
          </w:cols>
          <w:pgMar w:left="240" w:top="110" w:right="1440" w:bottom="0" w:gutter="0" w:footer="0" w:header="0"/>
        </w:sectPr>
      </w:pPr>
    </w:p>
    <w:bookmarkStart w:id="21" w:name="page22"/>
    <w:bookmarkEnd w:id="21"/>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38" w:lineRule="auto"/>
        <w:rPr>
          <w:sz w:val="20"/>
          <w:szCs w:val="20"/>
          <w:color w:val="auto"/>
        </w:rPr>
      </w:pPr>
      <w:r>
        <w:rPr>
          <w:rFonts w:ascii="Courier New" w:cs="Courier New" w:eastAsia="Courier New" w:hAnsi="Courier New"/>
          <w:sz w:val="18"/>
          <w:szCs w:val="18"/>
          <w:color w:val="auto"/>
        </w:rPr>
        <w:t>Balmac International, Inc.</w:t>
      </w:r>
    </w:p>
    <w:p>
      <w:pPr>
        <w:spacing w:after="0"/>
        <w:rPr>
          <w:sz w:val="20"/>
          <w:szCs w:val="20"/>
          <w:color w:val="auto"/>
        </w:rPr>
      </w:pPr>
      <w:r>
        <w:rPr>
          <w:rFonts w:ascii="Courier New" w:cs="Courier New" w:eastAsia="Courier New" w:hAnsi="Courier New"/>
          <w:sz w:val="18"/>
          <w:szCs w:val="18"/>
          <w:color w:val="auto"/>
        </w:rPr>
        <w:t>61 Broadway - Suite 1900</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10006</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Perry J. Schiller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Finance &amp; Controller</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Entoleter,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251 Welton Street, Hamden, 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06517</w:t>
      </w:r>
    </w:p>
    <w:p>
      <w:pPr>
        <w:spacing w:after="0" w:line="224" w:lineRule="exact"/>
        <w:rPr>
          <w:sz w:val="20"/>
          <w:szCs w:val="20"/>
          <w:color w:val="auto"/>
        </w:rPr>
      </w:pPr>
    </w:p>
    <w:p>
      <w:pPr>
        <w:sectPr>
          <w:pgSz w:w="11900" w:h="16838" w:orient="portrait"/>
          <w:cols w:equalWidth="0" w:num="2">
            <w:col w:w="3060" w:space="320"/>
            <w:col w:w="6839"/>
          </w:cols>
          <w:pgMar w:left="240" w:top="31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Spinnaker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Wentzel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Entoleter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Spinnaker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Wentzel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DeMarino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 &amp; Secretary</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New Mexico Telephone Company,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Yankee Street, Silver City, NM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88062</w:t>
      </w:r>
    </w:p>
    <w:p>
      <w:pPr>
        <w:spacing w:after="0" w:line="200" w:lineRule="exact"/>
        <w:rPr>
          <w:sz w:val="20"/>
          <w:szCs w:val="20"/>
          <w:color w:val="auto"/>
        </w:rPr>
      </w:pPr>
    </w:p>
    <w:p>
      <w:pPr>
        <w:sectPr>
          <w:pgSz w:w="11900" w:h="16838" w:orient="portrait"/>
          <w:cols w:equalWidth="0" w:num="2">
            <w:col w:w="3900" w:space="0"/>
            <w:col w:w="6319"/>
          </w:cols>
          <w:pgMar w:left="240" w:top="31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Dr. Brian E. Gordon</w:t>
      </w:r>
    </w:p>
    <w:p>
      <w:pPr>
        <w:sectPr>
          <w:pgSz w:w="11900" w:h="16838" w:orient="portrait"/>
          <w:cols w:equalWidth="0" w:num="1">
            <w:col w:w="10219"/>
          </w:cols>
          <w:pgMar w:left="240" w:top="312"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&amp; Treasurer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Clay Keen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Route 6</w:t>
      </w:r>
    </w:p>
    <w:p>
      <w:pPr>
        <w:spacing w:after="0" w:line="238" w:lineRule="auto"/>
        <w:rPr>
          <w:sz w:val="20"/>
          <w:szCs w:val="20"/>
          <w:color w:val="auto"/>
        </w:rPr>
      </w:pPr>
      <w:r>
        <w:rPr>
          <w:rFonts w:ascii="Courier New" w:cs="Courier New" w:eastAsia="Courier New" w:hAnsi="Courier New"/>
          <w:sz w:val="18"/>
          <w:szCs w:val="18"/>
          <w:color w:val="auto"/>
        </w:rPr>
        <w:t>Box 270</w:t>
      </w:r>
    </w:p>
    <w:p>
      <w:pPr>
        <w:spacing w:after="0"/>
        <w:rPr>
          <w:sz w:val="20"/>
          <w:szCs w:val="20"/>
          <w:color w:val="auto"/>
        </w:rPr>
      </w:pPr>
      <w:r>
        <w:rPr>
          <w:rFonts w:ascii="Courier New" w:cs="Courier New" w:eastAsia="Courier New" w:hAnsi="Courier New"/>
          <w:sz w:val="18"/>
          <w:szCs w:val="18"/>
          <w:color w:val="auto"/>
        </w:rPr>
        <w:t>Greenville, TX 75401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Robert 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Dolan</w:t>
            </w:r>
          </w:p>
        </w:tc>
      </w:tr>
      <w:tr>
        <w:trPr>
          <w:trHeight w:val="296"/>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r>
      <w:tr>
        <w:trPr>
          <w:trHeight w:val="311"/>
        </w:trPr>
        <w:tc>
          <w:tcPr>
            <w:tcW w:w="30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Carmine Ceraolo</w:t>
            </w:r>
          </w:p>
        </w:tc>
      </w:tr>
      <w:tr>
        <w:trPr>
          <w:trHeight w:val="296"/>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30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Mary J. Carroll</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r>
      <w:tr>
        <w:trPr>
          <w:trHeight w:val="311"/>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Eugene P.</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Connell</w:t>
            </w:r>
          </w:p>
        </w:tc>
      </w:tr>
      <w:tr>
        <w:trPr>
          <w:trHeight w:val="296"/>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8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Officers:</w:t>
            </w:r>
          </w:p>
        </w:tc>
        <w:tc>
          <w:tcPr>
            <w:tcW w:w="1200" w:type="dxa"/>
            <w:vAlign w:val="bottom"/>
          </w:tcPr>
          <w:p>
            <w:pPr>
              <w:spacing w:after="0"/>
              <w:rPr>
                <w:sz w:val="24"/>
                <w:szCs w:val="24"/>
                <w:color w:val="auto"/>
              </w:rPr>
            </w:pPr>
          </w:p>
        </w:tc>
      </w:tr>
    </w:tbl>
    <w:p>
      <w:pPr>
        <w:spacing w:after="0" w:line="3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M. Baxter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 Operations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&amp; Treasurer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Inter-Community Telephone Company, L.L.C.</w:t>
      </w:r>
    </w:p>
    <w:p>
      <w:pPr>
        <w:spacing w:after="0" w:line="31"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P.O. Box A, Nome, ND</w:t>
      </w:r>
      <w:r>
        <w:rPr>
          <w:sz w:val="20"/>
          <w:szCs w:val="20"/>
          <w:color w:val="auto"/>
        </w:rPr>
        <w:tab/>
      </w:r>
      <w:r>
        <w:rPr>
          <w:rFonts w:ascii="Courier New" w:cs="Courier New" w:eastAsia="Courier New" w:hAnsi="Courier New"/>
          <w:sz w:val="16"/>
          <w:szCs w:val="16"/>
          <w:color w:val="auto"/>
        </w:rPr>
        <w:t>58062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Rau</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Assistant</w:t>
      </w:r>
    </w:p>
    <w:p>
      <w:pPr>
        <w:spacing w:after="0" w:line="238" w:lineRule="auto"/>
        <w:rPr>
          <w:sz w:val="20"/>
          <w:szCs w:val="20"/>
          <w:color w:val="auto"/>
        </w:rPr>
      </w:pPr>
      <w:r>
        <w:rPr>
          <w:rFonts w:ascii="Courier New" w:cs="Courier New" w:eastAsia="Courier New" w:hAnsi="Courier New"/>
          <w:sz w:val="18"/>
          <w:szCs w:val="18"/>
          <w:color w:val="auto"/>
        </w:rPr>
        <w:t>Lynch Corporation</w:t>
      </w:r>
    </w:p>
    <w:p>
      <w:pPr>
        <w:spacing w:after="0"/>
        <w:rPr>
          <w:sz w:val="20"/>
          <w:szCs w:val="20"/>
          <w:color w:val="auto"/>
        </w:rPr>
      </w:pPr>
      <w:r>
        <w:rPr>
          <w:rFonts w:ascii="Courier New" w:cs="Courier New" w:eastAsia="Courier New" w:hAnsi="Courier New"/>
          <w:sz w:val="18"/>
          <w:szCs w:val="18"/>
          <w:color w:val="auto"/>
        </w:rPr>
        <w:t>401 Theodore Fremd Ave.</w:t>
      </w:r>
    </w:p>
    <w:p>
      <w:pPr>
        <w:spacing w:after="0"/>
        <w:rPr>
          <w:sz w:val="20"/>
          <w:szCs w:val="20"/>
          <w:color w:val="auto"/>
        </w:rPr>
      </w:pPr>
      <w:r>
        <w:rPr>
          <w:rFonts w:ascii="Courier New" w:cs="Courier New" w:eastAsia="Courier New" w:hAnsi="Courier New"/>
          <w:sz w:val="18"/>
          <w:szCs w:val="18"/>
          <w:color w:val="auto"/>
        </w:rPr>
        <w:t>Rye, NY 10580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Carmine P. Ceraolo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Controller</w:t>
      </w:r>
    </w:p>
    <w:p>
      <w:pPr>
        <w:spacing w:after="0" w:line="238" w:lineRule="auto"/>
        <w:rPr>
          <w:sz w:val="20"/>
          <w:szCs w:val="20"/>
          <w:color w:val="auto"/>
        </w:rPr>
      </w:pPr>
      <w:r>
        <w:rPr>
          <w:rFonts w:ascii="Courier New" w:cs="Courier New" w:eastAsia="Courier New" w:hAnsi="Courier New"/>
          <w:sz w:val="18"/>
          <w:szCs w:val="18"/>
          <w:color w:val="auto"/>
        </w:rPr>
        <w:t>Lynch Corporation</w:t>
      </w:r>
    </w:p>
    <w:p>
      <w:pPr>
        <w:spacing w:after="0"/>
        <w:rPr>
          <w:sz w:val="20"/>
          <w:szCs w:val="20"/>
          <w:color w:val="auto"/>
        </w:rPr>
      </w:pPr>
      <w:r>
        <w:rPr>
          <w:rFonts w:ascii="Courier New" w:cs="Courier New" w:eastAsia="Courier New" w:hAnsi="Courier New"/>
          <w:sz w:val="18"/>
          <w:szCs w:val="18"/>
          <w:color w:val="auto"/>
        </w:rPr>
        <w:t>401 Theodore Fremd Ave</w:t>
      </w:r>
    </w:p>
    <w:p>
      <w:pPr>
        <w:spacing w:after="0"/>
        <w:rPr>
          <w:sz w:val="20"/>
          <w:szCs w:val="20"/>
          <w:color w:val="auto"/>
        </w:rPr>
      </w:pPr>
      <w:r>
        <w:rPr>
          <w:rFonts w:ascii="Courier New" w:cs="Courier New" w:eastAsia="Courier New" w:hAnsi="Courier New"/>
          <w:sz w:val="18"/>
          <w:szCs w:val="18"/>
          <w:color w:val="auto"/>
        </w:rPr>
        <w:t>Rye, NY 10580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Snyder</w:t>
      </w:r>
    </w:p>
    <w:p>
      <w:pPr>
        <w:spacing w:after="0" w:line="3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200 Broadway South, Buffalo, ND</w:t>
        <w:tab/>
        <w:t>58011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Keith S. Andersen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Inter-Community Telephone Company</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Reff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Inter-Community Telephone Company</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Bently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1210 E. Washington Ave</w:t>
      </w:r>
    </w:p>
    <w:p>
      <w:pPr>
        <w:spacing w:after="0"/>
        <w:rPr>
          <w:sz w:val="20"/>
          <w:szCs w:val="20"/>
          <w:color w:val="auto"/>
        </w:rPr>
      </w:pPr>
      <w:r>
        <w:rPr>
          <w:rFonts w:ascii="Courier New" w:cs="Courier New" w:eastAsia="Courier New" w:hAnsi="Courier New"/>
          <w:sz w:val="18"/>
          <w:szCs w:val="18"/>
          <w:color w:val="auto"/>
        </w:rPr>
        <w:t>Gilbert, AZ 85234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10" w:right="1440" w:bottom="159" w:gutter="0" w:footer="0" w:header="0"/>
        </w:sectPr>
      </w:pPr>
    </w:p>
    <w:bookmarkStart w:id="23" w:name="page24"/>
    <w:bookmarkEnd w:id="23"/>
    <w:p>
      <w:pPr>
        <w:ind w:left="1280"/>
        <w:spacing w:after="0"/>
        <w:rPr>
          <w:sz w:val="20"/>
          <w:szCs w:val="20"/>
          <w:color w:val="auto"/>
        </w:rPr>
      </w:pPr>
      <w:r>
        <w:rPr>
          <w:rFonts w:ascii="Courier New" w:cs="Courier New" w:eastAsia="Courier New" w:hAnsi="Courier New"/>
          <w:sz w:val="18"/>
          <w:szCs w:val="18"/>
          <w:color w:val="auto"/>
        </w:rPr>
        <w:t>Robert Snyder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Keith S. Andersen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Central Scott Telephone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 North Second Street, Eldridge, Iowa 52748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Norman Harvey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Edgar H. Holden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Mohr</w:t>
      </w: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Eugene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Christopher Porter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L. Rau</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Edgar H. Holden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Norman Harvey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rPr>
          <w:sz w:val="20"/>
          <w:szCs w:val="20"/>
          <w:color w:val="auto"/>
        </w:rPr>
      </w:pPr>
      <w:r>
        <w:rPr>
          <w:rFonts w:ascii="Courier New" w:cs="Courier New" w:eastAsia="Courier New" w:hAnsi="Courier New"/>
          <w:sz w:val="18"/>
          <w:szCs w:val="18"/>
          <w:color w:val="auto"/>
        </w:rPr>
        <w:t>Vice President &amp; Assistant Treasurer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Julie Andersen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Treasurer &amp; Assistant Secretary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Kent Dau</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 Rye, NY 10580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Western New Mexico Telephone Company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Treasurer and Assistant Secretary</w:t>
      </w:r>
    </w:p>
    <w:p>
      <w:pPr>
        <w:sectPr>
          <w:pgSz w:w="11900" w:h="16838" w:orient="portrait"/>
          <w:cols w:equalWidth="0" w:num="1">
            <w:col w:w="10219"/>
          </w:cols>
          <w:pgMar w:left="240" w:top="110" w:right="1440" w:bottom="0" w:gutter="0" w:footer="0" w:header="0"/>
        </w:sectPr>
      </w:pPr>
    </w:p>
    <w:bookmarkStart w:id="24" w:name="page25"/>
    <w:bookmarkEnd w:id="24"/>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Controller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Theodore Fremd Avenue, Rye, NY 10580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Delores A. Deitrick</w:t>
      </w:r>
    </w:p>
    <w:p>
      <w:pPr>
        <w:spacing w:after="0" w:line="31"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c/o Lynch Telephone Corporation III</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Interactive Corporation</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Kiesling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Interactive Corporation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Kiesling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Treasurer and Controller</w:t>
      </w:r>
    </w:p>
    <w:p>
      <w:pPr>
        <w:spacing w:after="0" w:line="31" w:lineRule="exact"/>
        <w:rPr>
          <w:sz w:val="20"/>
          <w:szCs w:val="20"/>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Germany</w:t>
      </w:r>
    </w:p>
    <w:p>
      <w:pPr>
        <w:spacing w:after="0" w:line="169"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the Cayman Islands</w:t>
      </w:r>
    </w:p>
    <w:p>
      <w:pPr>
        <w:spacing w:after="0" w:line="223"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Bermuda and Canada</w:t>
      </w:r>
    </w:p>
    <w:p>
      <w:pPr>
        <w:spacing w:after="0" w:line="223"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Switzerland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Italy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96"/>
        </w:trPr>
        <w:tc>
          <w:tcPr>
            <w:tcW w:w="4600" w:type="dxa"/>
            <w:vAlign w:val="bottom"/>
          </w:tcPr>
          <w:p>
            <w:pPr>
              <w:spacing w:after="0"/>
              <w:rPr>
                <w:sz w:val="24"/>
                <w:szCs w:val="24"/>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SCHEDULE II</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INFORMATION WITH RESPECT TO</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TRANSACTIONS EFFECTED DURING THE PAST SIXTY DAYS OR</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SINCE THE MOST RECENT FILING ON SCHEDULE 13D (1)</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DATE</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PURCHASED</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AVERAGE</w:t>
            </w:r>
          </w:p>
        </w:tc>
        <w:tc>
          <w:tcPr>
            <w:tcW w:w="0" w:type="dxa"/>
            <w:vAlign w:val="bottom"/>
          </w:tcPr>
          <w:p>
            <w:pPr>
              <w:spacing w:after="0"/>
              <w:rPr>
                <w:sz w:val="1"/>
                <w:szCs w:val="1"/>
                <w:color w:val="auto"/>
              </w:rPr>
            </w:pPr>
          </w:p>
        </w:tc>
      </w:tr>
      <w:tr>
        <w:trPr>
          <w:trHeight w:val="296"/>
        </w:trPr>
        <w:tc>
          <w:tcPr>
            <w:tcW w:w="4600" w:type="dxa"/>
            <w:vAlign w:val="bottom"/>
            <w:vMerge w:val="continue"/>
          </w:tcPr>
          <w:p>
            <w:pPr>
              <w:spacing w:after="0"/>
              <w:rPr>
                <w:sz w:val="24"/>
                <w:szCs w:val="24"/>
                <w:color w:val="auto"/>
              </w:rPr>
            </w:pPr>
          </w:p>
        </w:tc>
        <w:tc>
          <w:tcPr>
            <w:tcW w:w="22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SOLD(-)</w:t>
            </w:r>
          </w:p>
        </w:tc>
        <w:tc>
          <w:tcPr>
            <w:tcW w:w="1360" w:type="dxa"/>
            <w:vAlign w:val="bottom"/>
          </w:tcPr>
          <w:p>
            <w:pPr>
              <w:ind w:left="520"/>
              <w:spacing w:after="0"/>
              <w:rPr>
                <w:sz w:val="20"/>
                <w:szCs w:val="20"/>
                <w:color w:val="auto"/>
              </w:rPr>
            </w:pPr>
            <w:r>
              <w:rPr>
                <w:rFonts w:ascii="Courier New" w:cs="Courier New" w:eastAsia="Courier New" w:hAnsi="Courier New"/>
                <w:sz w:val="18"/>
                <w:szCs w:val="18"/>
                <w:color w:val="auto"/>
                <w:w w:val="94"/>
              </w:rPr>
              <w:t>PRICE(2)</w:t>
            </w:r>
          </w:p>
        </w:tc>
        <w:tc>
          <w:tcPr>
            <w:tcW w:w="0" w:type="dxa"/>
            <w:vAlign w:val="bottom"/>
          </w:tcPr>
          <w:p>
            <w:pPr>
              <w:spacing w:after="0"/>
              <w:rPr>
                <w:sz w:val="1"/>
                <w:szCs w:val="1"/>
                <w:color w:val="auto"/>
              </w:rPr>
            </w:pP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COMMON STOCK-SOUTHWEST GAS CORP</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GAMCO INVESTORS, INC.</w:t>
            </w:r>
          </w:p>
        </w:tc>
        <w:tc>
          <w:tcPr>
            <w:tcW w:w="780" w:type="dxa"/>
            <w:vAlign w:val="bottom"/>
          </w:tcPr>
          <w:p>
            <w:pPr>
              <w:spacing w:after="0"/>
              <w:rPr>
                <w:sz w:val="24"/>
                <w:szCs w:val="24"/>
                <w:color w:val="auto"/>
              </w:rPr>
            </w:pPr>
          </w:p>
        </w:tc>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1,000-</w:t>
            </w:r>
          </w:p>
        </w:tc>
        <w:tc>
          <w:tcPr>
            <w:tcW w:w="13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23.0300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8/31/01</w:t>
            </w:r>
          </w:p>
        </w:tc>
        <w:tc>
          <w:tcPr>
            <w:tcW w:w="7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8/28/01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23.7600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8/27/01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23.7815</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8/27/01</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30,000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23.7625</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8/24/01</w:t>
            </w:r>
          </w:p>
        </w:tc>
        <w:tc>
          <w:tcPr>
            <w:tcW w:w="780" w:type="dxa"/>
            <w:vAlign w:val="bottom"/>
          </w:tcPr>
          <w:p>
            <w:pPr>
              <w:spacing w:after="0"/>
              <w:rPr>
                <w:sz w:val="17"/>
                <w:szCs w:val="17"/>
                <w:color w:val="auto"/>
              </w:rPr>
            </w:pP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8/24/01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23.7300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8/16/01</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8/13/01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22.7963</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8/13/01</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22.7400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8/10/01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23.0000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8/09/01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23.0000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8/08/01</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23.3000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8/08/01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20.3310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8/08/01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23.1500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8/07/01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8/07/01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23.3460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8/06/01</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15,000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23.7956</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8/06/01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23.7600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8/02/01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24.2997</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8/02/01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24.3070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7/31/01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24.0545</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7/31/01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24.1207</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7/30/01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24.0500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7/30/01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23.9869</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7/27/01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23.9000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7/26/01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23.7840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7/25/01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23.5433</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7/24/01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23.4467</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7/23/01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23.4000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7/20/01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23.7156</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7/19/01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23.4625</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7/19/01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23.4980</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7/18/01</w:t>
            </w:r>
          </w:p>
        </w:tc>
        <w:tc>
          <w:tcPr>
            <w:tcW w:w="7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23.4107</w:t>
            </w:r>
          </w:p>
        </w:tc>
        <w:tc>
          <w:tcPr>
            <w:tcW w:w="0" w:type="dxa"/>
            <w:vAlign w:val="bottom"/>
          </w:tcPr>
          <w:p>
            <w:pPr>
              <w:spacing w:after="0"/>
              <w:rPr>
                <w:sz w:val="1"/>
                <w:szCs w:val="1"/>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7/18/01</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23.4000</w:t>
            </w:r>
          </w:p>
        </w:tc>
        <w:tc>
          <w:tcPr>
            <w:tcW w:w="0" w:type="dxa"/>
            <w:vAlign w:val="bottom"/>
          </w:tcPr>
          <w:p>
            <w:pPr>
              <w:spacing w:after="0"/>
              <w:rPr>
                <w:sz w:val="1"/>
                <w:szCs w:val="1"/>
                <w:color w:val="auto"/>
              </w:rPr>
            </w:pPr>
          </w:p>
        </w:tc>
      </w:tr>
      <w:tr>
        <w:trPr>
          <w:trHeight w:val="296"/>
        </w:trPr>
        <w:tc>
          <w:tcPr>
            <w:tcW w:w="46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7/16/01</w:t>
            </w:r>
          </w:p>
        </w:tc>
        <w:tc>
          <w:tcPr>
            <w:tcW w:w="78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5,000</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23.3126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600" w:type="dxa"/>
            <w:vAlign w:val="bottom"/>
          </w:tcPr>
          <w:p>
            <w:pPr>
              <w:spacing w:after="0"/>
              <w:rPr>
                <w:sz w:val="20"/>
                <w:szCs w:val="20"/>
                <w:color w:val="auto"/>
              </w:rPr>
            </w:pPr>
            <w:r>
              <w:rPr>
                <w:rFonts w:ascii="Courier New" w:cs="Courier New" w:eastAsia="Courier New" w:hAnsi="Courier New"/>
                <w:sz w:val="18"/>
                <w:szCs w:val="18"/>
                <w:color w:val="auto"/>
              </w:rPr>
              <w:t>SCHEDULE II</w:t>
            </w: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INFORMATION WITH RESPECT TO</w:t>
            </w: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TRANSACTIONS EFFECTED DURING THE PAST SIXTY DAYS OR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SINCE THE MOST RECENT FILING ON SCHEDULE 13D (1)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vMerge w:val="restart"/>
          </w:tcPr>
          <w:p>
            <w:pPr>
              <w:ind w:left="3580"/>
              <w:spacing w:after="0"/>
              <w:rPr>
                <w:sz w:val="20"/>
                <w:szCs w:val="20"/>
                <w:color w:val="auto"/>
              </w:rPr>
            </w:pPr>
            <w:r>
              <w:rPr>
                <w:rFonts w:ascii="Courier New" w:cs="Courier New" w:eastAsia="Courier New" w:hAnsi="Courier New"/>
                <w:sz w:val="18"/>
                <w:szCs w:val="18"/>
                <w:color w:val="auto"/>
              </w:rPr>
              <w:t>DATE</w:t>
            </w: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 PURCHASED</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AVERAGE</w:t>
            </w:r>
          </w:p>
        </w:tc>
        <w:tc>
          <w:tcPr>
            <w:tcW w:w="0" w:type="dxa"/>
            <w:vAlign w:val="bottom"/>
          </w:tcPr>
          <w:p>
            <w:pPr>
              <w:spacing w:after="0"/>
              <w:rPr>
                <w:sz w:val="1"/>
                <w:szCs w:val="1"/>
                <w:color w:val="auto"/>
              </w:rPr>
            </w:pPr>
          </w:p>
        </w:tc>
      </w:tr>
      <w:tr>
        <w:trPr>
          <w:trHeight w:val="296"/>
        </w:trPr>
        <w:tc>
          <w:tcPr>
            <w:tcW w:w="4600" w:type="dxa"/>
            <w:vAlign w:val="bottom"/>
            <w:vMerge w:val="continue"/>
          </w:tcPr>
          <w:p>
            <w:pPr>
              <w:spacing w:after="0"/>
              <w:rPr>
                <w:sz w:val="24"/>
                <w:szCs w:val="24"/>
                <w:color w:val="auto"/>
              </w:rPr>
            </w:pPr>
          </w:p>
        </w:tc>
        <w:tc>
          <w:tcPr>
            <w:tcW w:w="2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SOLD(-)</w:t>
            </w:r>
          </w:p>
        </w:tc>
        <w:tc>
          <w:tcPr>
            <w:tcW w:w="1360" w:type="dxa"/>
            <w:vAlign w:val="bottom"/>
          </w:tcPr>
          <w:p>
            <w:pPr>
              <w:ind w:left="520"/>
              <w:spacing w:after="0"/>
              <w:rPr>
                <w:sz w:val="20"/>
                <w:szCs w:val="20"/>
                <w:color w:val="auto"/>
              </w:rPr>
            </w:pPr>
            <w:r>
              <w:rPr>
                <w:rFonts w:ascii="Courier New" w:cs="Courier New" w:eastAsia="Courier New" w:hAnsi="Courier New"/>
                <w:sz w:val="18"/>
                <w:szCs w:val="18"/>
                <w:color w:val="auto"/>
                <w:w w:val="94"/>
              </w:rPr>
              <w:t>PRICE(2)</w:t>
            </w:r>
          </w:p>
        </w:tc>
        <w:tc>
          <w:tcPr>
            <w:tcW w:w="0" w:type="dxa"/>
            <w:vAlign w:val="bottom"/>
          </w:tcPr>
          <w:p>
            <w:pPr>
              <w:spacing w:after="0"/>
              <w:rPr>
                <w:sz w:val="1"/>
                <w:szCs w:val="1"/>
                <w:color w:val="auto"/>
              </w:rPr>
            </w:pPr>
          </w:p>
        </w:tc>
      </w:tr>
      <w:tr>
        <w:trPr>
          <w:trHeight w:val="405"/>
        </w:trPr>
        <w:tc>
          <w:tcPr>
            <w:tcW w:w="4600" w:type="dxa"/>
            <w:vAlign w:val="bottom"/>
          </w:tcPr>
          <w:p>
            <w:pPr>
              <w:ind w:left="1160"/>
              <w:spacing w:after="0"/>
              <w:rPr>
                <w:sz w:val="20"/>
                <w:szCs w:val="20"/>
                <w:color w:val="auto"/>
              </w:rPr>
            </w:pPr>
            <w:r>
              <w:rPr>
                <w:rFonts w:ascii="Courier New" w:cs="Courier New" w:eastAsia="Courier New" w:hAnsi="Courier New"/>
                <w:sz w:val="18"/>
                <w:szCs w:val="18"/>
                <w:color w:val="auto"/>
              </w:rPr>
              <w:t>COMMON STOCK-SOUTHWEST GAS CORP</w:t>
            </w: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GABELLI FUNDS, LLC.</w:t>
            </w: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GABELLI CAPITAL ASSET FUND</w:t>
            </w:r>
          </w:p>
        </w:tc>
        <w:tc>
          <w:tcPr>
            <w:tcW w:w="13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23.7300</w:t>
            </w:r>
          </w:p>
        </w:tc>
        <w:tc>
          <w:tcPr>
            <w:tcW w:w="0" w:type="dxa"/>
            <w:vAlign w:val="bottom"/>
          </w:tcPr>
          <w:p>
            <w:pPr>
              <w:spacing w:after="0"/>
              <w:rPr>
                <w:sz w:val="1"/>
                <w:szCs w:val="1"/>
                <w:color w:val="auto"/>
              </w:rPr>
            </w:pPr>
          </w:p>
        </w:tc>
      </w:tr>
      <w:tr>
        <w:trPr>
          <w:trHeight w:val="296"/>
        </w:trPr>
        <w:tc>
          <w:tcPr>
            <w:tcW w:w="4600" w:type="dxa"/>
            <w:vAlign w:val="bottom"/>
          </w:tcPr>
          <w:p>
            <w:pPr>
              <w:ind w:left="3480"/>
              <w:spacing w:after="0"/>
              <w:rPr>
                <w:sz w:val="20"/>
                <w:szCs w:val="20"/>
                <w:color w:val="auto"/>
              </w:rPr>
            </w:pPr>
            <w:r>
              <w:rPr>
                <w:rFonts w:ascii="Courier New" w:cs="Courier New" w:eastAsia="Courier New" w:hAnsi="Courier New"/>
                <w:sz w:val="18"/>
                <w:szCs w:val="18"/>
                <w:color w:val="auto"/>
              </w:rPr>
              <w:t>8/27/01</w:t>
            </w:r>
          </w:p>
        </w:tc>
        <w:tc>
          <w:tcPr>
            <w:tcW w:w="2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5,000</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480" w:right="2619" w:hanging="419"/>
        <w:spacing w:after="0" w:line="34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 RESULTS IN CHANGE OF DISPOSITIVE POWER AND BENEFICIAL OWNERSHIP.</w:t>
      </w:r>
    </w:p>
    <w:p>
      <w:pPr>
        <w:sectPr>
          <w:pgSz w:w="11900" w:h="16838" w:orient="portrait"/>
          <w:cols w:equalWidth="0" w:num="1">
            <w:col w:w="10219"/>
          </w:cols>
          <w:pgMar w:left="240" w:top="110" w:right="1440" w:bottom="159"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6"/>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2019-12-11T18:58:36Z</dcterms:created>
  <dcterms:modified xsi:type="dcterms:W3CDTF">2019-12-11T18:58:36Z</dcterms:modified>
</cp:coreProperties>
</file>