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SECURITIES AND EXCHANGE COMMISSION</w:t>
      </w:r>
    </w:p>
    <w:p>
      <w:pPr>
        <w:jc w:val="center"/>
        <w:ind w:right="19"/>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120650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45"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133985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76"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CURRENT REPORT</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Section 13 or 15(d)</w:t>
      </w:r>
    </w:p>
    <w:p>
      <w:pPr>
        <w:jc w:val="center"/>
        <w:ind w:right="19"/>
        <w:spacing w:after="0"/>
        <w:rPr>
          <w:sz w:val="20"/>
          <w:szCs w:val="20"/>
          <w:color w:val="auto"/>
        </w:rPr>
      </w:pPr>
      <w:r>
        <w:rPr>
          <w:rFonts w:ascii="Arial" w:cs="Arial" w:eastAsia="Arial" w:hAnsi="Arial"/>
          <w:sz w:val="15"/>
          <w:szCs w:val="15"/>
          <w:b w:val="1"/>
          <w:bCs w:val="1"/>
          <w:color w:val="auto"/>
        </w:rPr>
        <w:t>of the Securities Exchange Act of 1934</w:t>
      </w:r>
    </w:p>
    <w:p>
      <w:pPr>
        <w:spacing w:after="0" w:line="86"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Date of Report (Date of earliest event reported) November 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125095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30"/>
          <w:szCs w:val="30"/>
          <w:b w:val="1"/>
          <w:bCs w:val="1"/>
          <w:color w:val="auto"/>
        </w:rPr>
        <w:t>SOUTHWEST GAS HOLDINGS, INC.</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114935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299" w:right="1440" w:bottom="1440" w:gutter="0" w:footer="0" w:header="0"/>
        </w:sectPr>
      </w:pPr>
    </w:p>
    <w:p>
      <w:pPr>
        <w:spacing w:after="0" w:line="310" w:lineRule="exact"/>
        <w:rPr>
          <w:sz w:val="24"/>
          <w:szCs w:val="24"/>
          <w:color w:val="auto"/>
        </w:rPr>
      </w:pPr>
    </w:p>
    <w:p>
      <w:pPr>
        <w:ind w:left="1700"/>
        <w:spacing w:after="0"/>
        <w:rPr>
          <w:sz w:val="20"/>
          <w:szCs w:val="20"/>
          <w:color w:val="auto"/>
        </w:rPr>
      </w:pPr>
      <w:r>
        <w:rPr>
          <w:rFonts w:ascii="Arial" w:cs="Arial" w:eastAsia="Arial" w:hAnsi="Arial"/>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290" w:lineRule="exact"/>
        <w:rPr>
          <w:sz w:val="24"/>
          <w:szCs w:val="24"/>
          <w:color w:val="auto"/>
        </w:rPr>
      </w:pPr>
    </w:p>
    <w:p>
      <w:pPr>
        <w:jc w:val="center"/>
        <w:ind w:right="1240"/>
        <w:spacing w:after="0"/>
        <w:rPr>
          <w:sz w:val="20"/>
          <w:szCs w:val="20"/>
          <w:color w:val="auto"/>
        </w:rPr>
      </w:pPr>
      <w:r>
        <w:rPr>
          <w:rFonts w:ascii="Arial" w:cs="Arial" w:eastAsia="Arial" w:hAnsi="Arial"/>
          <w:sz w:val="11"/>
          <w:szCs w:val="11"/>
          <w:b w:val="1"/>
          <w:bCs w:val="1"/>
          <w:color w:val="auto"/>
        </w:rPr>
        <w:t>001-37976</w:t>
      </w:r>
    </w:p>
    <w:p>
      <w:pPr>
        <w:spacing w:after="0" w:line="20" w:lineRule="exact"/>
        <w:rPr>
          <w:sz w:val="24"/>
          <w:szCs w:val="24"/>
          <w:color w:val="auto"/>
        </w:rPr>
      </w:pPr>
      <w:r>
        <w:rPr>
          <w:sz w:val="24"/>
          <w:szCs w:val="24"/>
          <w:color w:val="auto"/>
        </w:rPr>
        <w:br w:type="column"/>
      </w:r>
    </w:p>
    <w:p>
      <w:pPr>
        <w:spacing w:after="0" w:line="290"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81-3881866</w:t>
      </w:r>
    </w:p>
    <w:p>
      <w:pPr>
        <w:spacing w:after="0" w:line="34" w:lineRule="exact"/>
        <w:rPr>
          <w:sz w:val="24"/>
          <w:szCs w:val="24"/>
          <w:color w:val="auto"/>
        </w:rPr>
      </w:pPr>
    </w:p>
    <w:p>
      <w:pPr>
        <w:sectPr>
          <w:pgSz w:w="11900" w:h="16838" w:orient="portrait"/>
          <w:cols w:equalWidth="0" w:num="3">
            <w:col w:w="3600" w:space="720"/>
            <w:col w:w="1780" w:space="720"/>
            <w:col w:w="2199"/>
          </w:cols>
          <w:pgMar w:left="1440" w:top="299" w:right="1440" w:bottom="1440" w:gutter="0" w:footer="0" w:header="0"/>
          <w:type w:val="continuous"/>
        </w:sectPr>
      </w:pPr>
    </w:p>
    <w:p>
      <w:pPr>
        <w:ind w:left="1320"/>
        <w:spacing w:after="0"/>
        <w:rPr>
          <w:sz w:val="20"/>
          <w:szCs w:val="20"/>
          <w:color w:val="auto"/>
        </w:rPr>
      </w:pPr>
      <w:r>
        <w:rPr>
          <w:rFonts w:ascii="Arial" w:cs="Arial" w:eastAsia="Arial" w:hAnsi="Arial"/>
          <w:sz w:val="9"/>
          <w:szCs w:val="9"/>
          <w:b w:val="1"/>
          <w:bCs w:val="1"/>
          <w:color w:val="auto"/>
        </w:rPr>
        <w:t>(State or other jurisdiction of</w:t>
      </w:r>
    </w:p>
    <w:p>
      <w:pPr>
        <w:ind w:left="1300"/>
        <w:spacing w:after="0"/>
        <w:rPr>
          <w:sz w:val="20"/>
          <w:szCs w:val="20"/>
          <w:color w:val="auto"/>
        </w:rPr>
      </w:pPr>
      <w:r>
        <w:rPr>
          <w:rFonts w:ascii="Arial" w:cs="Arial" w:eastAsia="Arial" w:hAnsi="Arial"/>
          <w:sz w:val="9"/>
          <w:szCs w:val="9"/>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9"/>
          <w:szCs w:val="9"/>
          <w:b w:val="1"/>
          <w:bCs w:val="1"/>
          <w:color w:val="auto"/>
        </w:rPr>
        <w:t>(Commission</w:t>
      </w:r>
    </w:p>
    <w:p>
      <w:pPr>
        <w:spacing w:after="0"/>
        <w:rPr>
          <w:sz w:val="20"/>
          <w:szCs w:val="20"/>
          <w:color w:val="auto"/>
        </w:rPr>
      </w:pPr>
      <w:r>
        <w:rPr>
          <w:rFonts w:ascii="Arial" w:cs="Arial" w:eastAsia="Arial" w:hAnsi="Arial"/>
          <w:sz w:val="9"/>
          <w:szCs w:val="9"/>
          <w:b w:val="1"/>
          <w:bCs w:val="1"/>
          <w:color w:val="auto"/>
        </w:rPr>
        <w:t>File Number)</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9"/>
          <w:szCs w:val="9"/>
          <w:b w:val="1"/>
          <w:bCs w:val="1"/>
          <w:color w:val="auto"/>
        </w:rPr>
        <w:t>(I.R.S. Employer</w:t>
      </w:r>
    </w:p>
    <w:p>
      <w:pPr>
        <w:spacing w:after="0"/>
        <w:rPr>
          <w:sz w:val="20"/>
          <w:szCs w:val="20"/>
          <w:color w:val="auto"/>
        </w:rPr>
      </w:pPr>
      <w:r>
        <w:rPr>
          <w:rFonts w:ascii="Arial" w:cs="Arial" w:eastAsia="Arial" w:hAnsi="Arial"/>
          <w:sz w:val="9"/>
          <w:szCs w:val="9"/>
          <w:b w:val="1"/>
          <w:bCs w:val="1"/>
          <w:color w:val="auto"/>
        </w:rPr>
        <w:t>Identification No.)</w:t>
      </w:r>
    </w:p>
    <w:p>
      <w:pPr>
        <w:spacing w:after="0" w:line="106" w:lineRule="exact"/>
        <w:rPr>
          <w:sz w:val="24"/>
          <w:szCs w:val="24"/>
          <w:color w:val="auto"/>
        </w:rPr>
      </w:pPr>
    </w:p>
    <w:p>
      <w:pPr>
        <w:sectPr>
          <w:pgSz w:w="11900" w:h="16838" w:orient="portrait"/>
          <w:cols w:equalWidth="0" w:num="3">
            <w:col w:w="3580" w:space="720"/>
            <w:col w:w="1720" w:space="720"/>
            <w:col w:w="2279"/>
          </w:cols>
          <w:pgMar w:left="1440" w:top="299" w:right="1440" w:bottom="1440" w:gutter="0" w:footer="0" w:header="0"/>
          <w:type w:val="continuous"/>
        </w:sectPr>
      </w:pPr>
    </w:p>
    <w:p>
      <w:pPr>
        <w:jc w:val="center"/>
        <w:ind w:right="19"/>
        <w:spacing w:after="0"/>
        <w:rPr>
          <w:sz w:val="20"/>
          <w:szCs w:val="20"/>
          <w:color w:val="auto"/>
        </w:rPr>
      </w:pPr>
      <w:r>
        <w:rPr>
          <w:rFonts w:ascii="Arial" w:cs="Arial" w:eastAsia="Arial" w:hAnsi="Arial"/>
          <w:sz w:val="13"/>
          <w:szCs w:val="13"/>
          <w:b w:val="1"/>
          <w:bCs w:val="1"/>
          <w:color w:val="auto"/>
        </w:rPr>
        <w:t>8360 S. Durango Dr.</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Post Office Box 98510</w:t>
      </w:r>
    </w:p>
    <w:p>
      <w:pPr>
        <w:jc w:val="center"/>
        <w:ind w:right="19"/>
        <w:spacing w:after="0"/>
        <w:rPr>
          <w:sz w:val="20"/>
          <w:szCs w:val="20"/>
          <w:color w:val="auto"/>
        </w:rPr>
      </w:pPr>
      <w:r>
        <w:rPr>
          <w:rFonts w:ascii="Arial" w:cs="Arial" w:eastAsia="Arial" w:hAnsi="Arial"/>
          <w:sz w:val="13"/>
          <w:szCs w:val="13"/>
          <w:b w:val="1"/>
          <w:bCs w:val="1"/>
          <w:color w:val="auto"/>
        </w:rPr>
        <w:t>Las Vegas, Nevada</w:t>
      </w:r>
    </w:p>
    <w:p>
      <w:pPr>
        <w:jc w:val="center"/>
        <w:ind w:right="19"/>
        <w:spacing w:after="0"/>
        <w:rPr>
          <w:sz w:val="20"/>
          <w:szCs w:val="20"/>
          <w:color w:val="auto"/>
        </w:rPr>
      </w:pPr>
      <w:r>
        <w:rPr>
          <w:rFonts w:ascii="Arial" w:cs="Arial" w:eastAsia="Arial" w:hAnsi="Arial"/>
          <w:sz w:val="8"/>
          <w:szCs w:val="8"/>
          <w:b w:val="1"/>
          <w:bCs w:val="1"/>
          <w:color w:val="auto"/>
        </w:rPr>
        <w:t>(Address of principal executive offices)</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89193-8510</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0"/>
          <w:szCs w:val="10"/>
          <w:b w:val="1"/>
          <w:bCs w:val="1"/>
          <w:color w:val="auto"/>
        </w:rPr>
        <w:t>(Zip Code)</w:t>
      </w:r>
    </w:p>
    <w:p>
      <w:pPr>
        <w:sectPr>
          <w:pgSz w:w="11900" w:h="16838" w:orient="portrait"/>
          <w:cols w:equalWidth="0" w:num="1">
            <w:col w:w="9019"/>
          </w:cols>
          <w:pgMar w:left="1440" w:top="299" w:right="1440" w:bottom="1440" w:gutter="0" w:footer="0" w:header="0"/>
          <w:type w:val="continuous"/>
        </w:sectPr>
      </w:pPr>
    </w:p>
    <w:p>
      <w:pPr>
        <w:spacing w:after="0" w:line="8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Registrant’s telephone number, including area code: (702) 876-7237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123825</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80" w:lineRule="exact"/>
        <w:rPr>
          <w:sz w:val="24"/>
          <w:szCs w:val="24"/>
          <w:color w:val="auto"/>
        </w:rPr>
      </w:pPr>
    </w:p>
    <w:p>
      <w:pPr>
        <w:ind w:left="640" w:right="979"/>
        <w:spacing w:after="0" w:line="261" w:lineRule="auto"/>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63"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Written communications pursuant to Rule 425 under the Securities Act (17 CFR 230.425)</w:t>
      </w:r>
    </w:p>
    <w:p>
      <w:pPr>
        <w:spacing w:after="0" w:line="87" w:lineRule="exact"/>
        <w:rPr>
          <w:sz w:val="24"/>
          <w:szCs w:val="24"/>
          <w:color w:val="auto"/>
        </w:rPr>
      </w:pPr>
    </w:p>
    <w:p>
      <w:pPr>
        <w:ind w:left="940" w:hanging="303"/>
        <w:spacing w:after="0"/>
        <w:tabs>
          <w:tab w:leader="none" w:pos="940" w:val="left"/>
        </w:tabs>
        <w:numPr>
          <w:ilvl w:val="0"/>
          <w:numId w:val="2"/>
        </w:numPr>
        <w:rPr>
          <w:rFonts w:ascii="MS PGothic" w:cs="MS PGothic" w:eastAsia="MS PGothic" w:hAnsi="MS PGothic"/>
          <w:sz w:val="13"/>
          <w:szCs w:val="13"/>
          <w:color w:val="auto"/>
        </w:rPr>
      </w:pPr>
      <w:r>
        <w:rPr>
          <w:rFonts w:ascii="Arial" w:cs="Arial" w:eastAsia="Arial" w:hAnsi="Arial"/>
          <w:sz w:val="13"/>
          <w:szCs w:val="13"/>
          <w:color w:val="auto"/>
        </w:rPr>
        <w:t>Soliciting material pursuant to Rule 14a-12 under the Exchange Act (17 CFR 240.14a-12)</w:t>
      </w:r>
    </w:p>
    <w:p>
      <w:pPr>
        <w:spacing w:after="0" w:line="87" w:lineRule="exact"/>
        <w:rPr>
          <w:sz w:val="24"/>
          <w:szCs w:val="24"/>
          <w:color w:val="auto"/>
        </w:rPr>
      </w:pPr>
    </w:p>
    <w:p>
      <w:pPr>
        <w:ind w:left="940" w:hanging="303"/>
        <w:spacing w:after="0"/>
        <w:tabs>
          <w:tab w:leader="none" w:pos="940" w:val="left"/>
        </w:tabs>
        <w:numPr>
          <w:ilvl w:val="0"/>
          <w:numId w:val="3"/>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3040" w:right="2439" w:hanging="2403"/>
        <w:spacing w:after="0" w:line="479" w:lineRule="auto"/>
        <w:tabs>
          <w:tab w:leader="none" w:pos="933" w:val="left"/>
        </w:tabs>
        <w:numPr>
          <w:ilvl w:val="0"/>
          <w:numId w:val="3"/>
        </w:numPr>
        <w:rPr>
          <w:rFonts w:ascii="MS PGothic" w:cs="MS PGothic" w:eastAsia="MS PGothic" w:hAnsi="MS PGothic"/>
          <w:sz w:val="11"/>
          <w:szCs w:val="11"/>
          <w:color w:val="auto"/>
        </w:rPr>
      </w:pPr>
      <w:r>
        <w:rPr>
          <w:rFonts w:ascii="Arial" w:cs="Arial" w:eastAsia="Arial" w:hAnsi="Arial"/>
          <w:sz w:val="11"/>
          <w:szCs w:val="11"/>
          <w:color w:val="auto"/>
        </w:rPr>
        <w:t>Pre-commencement communications pursuant to Rule 13e-4(c) under the Exchange Act (17 CFR 240.13e-4(c)) Securities registered pursuant to Section 12(b) of the Act:</w:t>
      </w:r>
    </w:p>
    <w:tbl>
      <w:tblPr>
        <w:tblLayout w:type="fixed"/>
        <w:tblInd w:w="640" w:type="dxa"/>
        <w:tblCellMar>
          <w:top w:w="0" w:type="dxa"/>
          <w:left w:w="0" w:type="dxa"/>
          <w:bottom w:w="0" w:type="dxa"/>
          <w:right w:w="0" w:type="dxa"/>
        </w:tblCellMar>
      </w:tblPr>
      <w:tr>
        <w:trPr>
          <w:trHeight w:val="105"/>
        </w:trPr>
        <w:tc>
          <w:tcPr>
            <w:tcW w:w="2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560" w:type="dxa"/>
            <w:vAlign w:val="bottom"/>
            <w:gridSpan w:val="2"/>
          </w:tcPr>
          <w:p>
            <w:pPr>
              <w:jc w:val="center"/>
              <w:ind w:right="60"/>
              <w:spacing w:after="0" w:line="105" w:lineRule="exact"/>
              <w:rPr>
                <w:sz w:val="20"/>
                <w:szCs w:val="20"/>
                <w:color w:val="auto"/>
              </w:rPr>
            </w:pPr>
            <w:r>
              <w:rPr>
                <w:rFonts w:ascii="Arial" w:cs="Arial" w:eastAsia="Arial" w:hAnsi="Arial"/>
                <w:sz w:val="10"/>
                <w:szCs w:val="10"/>
                <w:b w:val="1"/>
                <w:bCs w:val="1"/>
                <w:color w:val="auto"/>
                <w:w w:val="94"/>
              </w:rPr>
              <w:t>(Trading</w:t>
            </w:r>
          </w:p>
        </w:tc>
        <w:tc>
          <w:tcPr>
            <w:tcW w:w="248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88"/>
              </w:rPr>
              <w:t>(Exchange on</w:t>
            </w:r>
          </w:p>
        </w:tc>
      </w:tr>
      <w:tr>
        <w:trPr>
          <w:trHeight w:val="128"/>
        </w:trPr>
        <w:tc>
          <w:tcPr>
            <w:tcW w:w="270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2"/>
              </w:rPr>
              <w:t>(Title of class)</w:t>
            </w:r>
          </w:p>
        </w:tc>
        <w:tc>
          <w:tcPr>
            <w:tcW w:w="256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8"/>
              </w:rPr>
              <w:t>symbol)</w:t>
            </w:r>
          </w:p>
        </w:tc>
        <w:tc>
          <w:tcPr>
            <w:tcW w:w="2480" w:type="dxa"/>
            <w:vAlign w:val="bottom"/>
          </w:tcPr>
          <w:p>
            <w:pPr>
              <w:jc w:val="center"/>
              <w:spacing w:after="0"/>
              <w:rPr>
                <w:sz w:val="20"/>
                <w:szCs w:val="20"/>
                <w:color w:val="auto"/>
              </w:rPr>
            </w:pPr>
            <w:r>
              <w:rPr>
                <w:rFonts w:ascii="Arial" w:cs="Arial" w:eastAsia="Arial" w:hAnsi="Arial"/>
                <w:sz w:val="10"/>
                <w:szCs w:val="10"/>
                <w:b w:val="1"/>
                <w:bCs w:val="1"/>
                <w:color w:val="auto"/>
                <w:w w:val="89"/>
              </w:rPr>
              <w:t>which registered)</w:t>
            </w:r>
          </w:p>
        </w:tc>
      </w:tr>
      <w:tr>
        <w:trPr>
          <w:trHeight w:val="128"/>
        </w:trPr>
        <w:tc>
          <w:tcPr>
            <w:tcW w:w="262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3"/>
                <w:szCs w:val="13"/>
                <w:b w:val="1"/>
                <w:bCs w:val="1"/>
                <w:color w:val="auto"/>
                <w:w w:val="86"/>
              </w:rPr>
              <w:t>Southwest Gas Holdings, Inc. Common Stock,</w:t>
            </w:r>
          </w:p>
        </w:tc>
        <w:tc>
          <w:tcPr>
            <w:tcW w:w="80" w:type="dxa"/>
            <w:vAlign w:val="bottom"/>
          </w:tcPr>
          <w:p>
            <w:pPr>
              <w:spacing w:after="0"/>
              <w:rPr>
                <w:sz w:val="11"/>
                <w:szCs w:val="11"/>
                <w:color w:val="auto"/>
              </w:rPr>
            </w:pPr>
          </w:p>
        </w:tc>
        <w:tc>
          <w:tcPr>
            <w:tcW w:w="248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3"/>
                <w:szCs w:val="13"/>
                <w:b w:val="1"/>
                <w:bCs w:val="1"/>
                <w:color w:val="auto"/>
                <w:w w:val="94"/>
              </w:rPr>
              <w:t>SWX</w:t>
            </w:r>
          </w:p>
        </w:tc>
        <w:tc>
          <w:tcPr>
            <w:tcW w:w="80" w:type="dxa"/>
            <w:vAlign w:val="bottom"/>
          </w:tcPr>
          <w:p>
            <w:pPr>
              <w:spacing w:after="0"/>
              <w:rPr>
                <w:sz w:val="11"/>
                <w:szCs w:val="11"/>
                <w:color w:val="auto"/>
              </w:rPr>
            </w:pPr>
          </w:p>
        </w:tc>
        <w:tc>
          <w:tcPr>
            <w:tcW w:w="248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3"/>
                <w:szCs w:val="13"/>
                <w:b w:val="1"/>
                <w:bCs w:val="1"/>
                <w:color w:val="auto"/>
                <w:w w:val="86"/>
              </w:rPr>
              <w:t>New York Stock Exchange</w:t>
            </w:r>
          </w:p>
        </w:tc>
      </w:tr>
      <w:tr>
        <w:trPr>
          <w:trHeight w:val="152"/>
        </w:trPr>
        <w:tc>
          <w:tcPr>
            <w:tcW w:w="27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$1 par value</w:t>
            </w:r>
          </w:p>
        </w:tc>
        <w:tc>
          <w:tcPr>
            <w:tcW w:w="2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80" w:type="dxa"/>
            <w:vAlign w:val="bottom"/>
          </w:tcPr>
          <w:p>
            <w:pPr>
              <w:spacing w:after="0"/>
              <w:rPr>
                <w:sz w:val="13"/>
                <w:szCs w:val="13"/>
                <w:color w:val="auto"/>
              </w:rPr>
            </w:pPr>
          </w:p>
        </w:tc>
      </w:tr>
      <w:tr>
        <w:trPr>
          <w:trHeight w:val="165"/>
        </w:trPr>
        <w:tc>
          <w:tcPr>
            <w:tcW w:w="27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Preferred Stock Purchase Rights</w:t>
            </w:r>
          </w:p>
        </w:tc>
        <w:tc>
          <w:tcPr>
            <w:tcW w:w="25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8"/>
              </w:rPr>
              <w:t>N/A</w:t>
            </w:r>
          </w:p>
        </w:tc>
        <w:tc>
          <w:tcPr>
            <w:tcW w:w="2480" w:type="dxa"/>
            <w:vAlign w:val="bottom"/>
          </w:tcPr>
          <w:p>
            <w:pPr>
              <w:jc w:val="center"/>
              <w:spacing w:after="0"/>
              <w:rPr>
                <w:sz w:val="20"/>
                <w:szCs w:val="20"/>
                <w:color w:val="auto"/>
              </w:rPr>
            </w:pPr>
            <w:r>
              <w:rPr>
                <w:rFonts w:ascii="Arial" w:cs="Arial" w:eastAsia="Arial" w:hAnsi="Arial"/>
                <w:sz w:val="13"/>
                <w:szCs w:val="13"/>
                <w:b w:val="1"/>
                <w:bCs w:val="1"/>
                <w:color w:val="auto"/>
                <w:w w:val="86"/>
              </w:rPr>
              <w:t>New York Stock Exchange</w:t>
            </w:r>
          </w:p>
        </w:tc>
      </w:tr>
    </w:tbl>
    <w:p>
      <w:pPr>
        <w:spacing w:after="0" w:line="86" w:lineRule="exact"/>
        <w:rPr>
          <w:sz w:val="24"/>
          <w:szCs w:val="24"/>
          <w:color w:val="auto"/>
        </w:rPr>
      </w:pPr>
    </w:p>
    <w:p>
      <w:pPr>
        <w:ind w:left="640" w:right="859"/>
        <w:spacing w:after="0" w:line="261"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8" w:lineRule="exact"/>
        <w:rPr>
          <w:sz w:val="24"/>
          <w:szCs w:val="24"/>
          <w:color w:val="auto"/>
        </w:rPr>
      </w:pPr>
    </w:p>
    <w:p>
      <w:pPr>
        <w:ind w:left="64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31" w:lineRule="exact"/>
        <w:rPr>
          <w:sz w:val="24"/>
          <w:szCs w:val="24"/>
          <w:color w:val="auto"/>
        </w:rPr>
      </w:pPr>
    </w:p>
    <w:p>
      <w:pPr>
        <w:ind w:left="640" w:right="859"/>
        <w:spacing w:after="0" w:line="163"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64135</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93980</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299" w:right="1440" w:bottom="1440" w:gutter="0" w:footer="0" w:header="0"/>
          <w:type w:val="continuous"/>
        </w:sectPr>
      </w:pPr>
    </w:p>
    <w:bookmarkStart w:id="1" w:name="page2"/>
    <w:bookmarkEnd w:id="1"/>
    <w:p>
      <w:pPr>
        <w:ind w:left="1480" w:right="1359" w:hanging="842"/>
        <w:spacing w:after="0" w:line="267" w:lineRule="auto"/>
        <w:tabs>
          <w:tab w:leader="none" w:pos="1460" w:val="left"/>
        </w:tabs>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5.02.</w:t>
      </w:r>
      <w:r>
        <w:rPr>
          <w:sz w:val="20"/>
          <w:szCs w:val="20"/>
          <w:color w:val="auto"/>
        </w:rPr>
        <w:tab/>
      </w:r>
      <w:r>
        <w:rPr>
          <w:rFonts w:ascii="Arial" w:cs="Arial" w:eastAsia="Arial" w:hAnsi="Arial"/>
          <w:sz w:val="13"/>
          <w:szCs w:val="13"/>
          <w:b w:val="1"/>
          <w:bCs w:val="1"/>
          <w:color w:val="auto"/>
        </w:rPr>
        <w:t>Departure of Directors or Certain Officers; Election of Directors; Appointment of Certain Officers; Compensatory Arrangements of Certain Officers.</w:t>
      </w:r>
    </w:p>
    <w:p>
      <w:pPr>
        <w:spacing w:after="0" w:line="50" w:lineRule="exact"/>
        <w:rPr>
          <w:sz w:val="20"/>
          <w:szCs w:val="20"/>
          <w:color w:val="auto"/>
        </w:rPr>
      </w:pPr>
    </w:p>
    <w:p>
      <w:pPr>
        <w:ind w:left="640" w:right="699" w:firstLine="309"/>
        <w:spacing w:after="0" w:line="247" w:lineRule="auto"/>
        <w:rPr>
          <w:sz w:val="20"/>
          <w:szCs w:val="20"/>
          <w:color w:val="auto"/>
        </w:rPr>
      </w:pPr>
      <w:r>
        <w:rPr>
          <w:rFonts w:ascii="Arial" w:cs="Arial" w:eastAsia="Arial" w:hAnsi="Arial"/>
          <w:sz w:val="13"/>
          <w:szCs w:val="13"/>
          <w:color w:val="auto"/>
        </w:rPr>
        <w:t>On November 5, 2021, the Board of Directors (the “Board”) of Southwest Gas Holdings, Inc. (the “Company”) increased the size of the Board by two directors, from 10 directors to 12 directors, and appointed E. Renae Conley and Carlos A. Ruisanchez to fill the vacancies created by the increased size of the Board, in each case, effective January 1, 2022. The Board affirmatively determined that both Ms. Conley and Mr. Ruisanchez qualify as independent directors within the meaning of the New York Stock Exchange listing standards. Ms. Conley and Mr. Ruisanchez have not been appointed to any committees of the Board at this time.</w:t>
      </w:r>
    </w:p>
    <w:p>
      <w:pPr>
        <w:spacing w:after="0" w:line="141" w:lineRule="exact"/>
        <w:rPr>
          <w:sz w:val="20"/>
          <w:szCs w:val="20"/>
          <w:color w:val="auto"/>
        </w:rPr>
      </w:pPr>
    </w:p>
    <w:p>
      <w:pPr>
        <w:ind w:left="640" w:right="679" w:firstLine="309"/>
        <w:spacing w:after="0" w:line="273" w:lineRule="auto"/>
        <w:rPr>
          <w:sz w:val="20"/>
          <w:szCs w:val="20"/>
          <w:color w:val="auto"/>
        </w:rPr>
      </w:pPr>
      <w:r>
        <w:rPr>
          <w:rFonts w:ascii="Arial" w:cs="Arial" w:eastAsia="Arial" w:hAnsi="Arial"/>
          <w:sz w:val="12"/>
          <w:szCs w:val="12"/>
          <w:color w:val="auto"/>
        </w:rPr>
        <w:t>Since 2014, Ms. Conley has served as CEO of ER Solutions, LLC, an energy consulting firm. Ms. Conley previously served from 2010-2013 as EVP, Human Resources and Administration, and Chief Diversity Officer of Entergy Corporation. She also previously served as Chairman, President and CEO of Entergy Louisiana and Gulf States Louisiana where she played a key role leading utility restoration effort in Louisiana in the wake of several major hurricanes, including Katrina. Prior to joining Entergy, Ms. Conley worked for eighteen years for PSI Energy/Cinergy Corporation, where she held a variety of positions including President of Cincinnati Gas and Electric.</w:t>
      </w:r>
    </w:p>
    <w:p>
      <w:pPr>
        <w:spacing w:after="0" w:line="125" w:lineRule="exact"/>
        <w:rPr>
          <w:sz w:val="20"/>
          <w:szCs w:val="20"/>
          <w:color w:val="auto"/>
        </w:rPr>
      </w:pPr>
    </w:p>
    <w:p>
      <w:pPr>
        <w:ind w:left="640" w:right="659" w:firstLine="309"/>
        <w:spacing w:after="0" w:line="309" w:lineRule="auto"/>
        <w:rPr>
          <w:sz w:val="20"/>
          <w:szCs w:val="20"/>
          <w:color w:val="auto"/>
        </w:rPr>
      </w:pPr>
      <w:r>
        <w:rPr>
          <w:rFonts w:ascii="Arial" w:cs="Arial" w:eastAsia="Arial" w:hAnsi="Arial"/>
          <w:sz w:val="11"/>
          <w:szCs w:val="11"/>
          <w:color w:val="auto"/>
        </w:rPr>
        <w:t>Ms. Conley currently serves as a director of US Ecology, Inc., where she is chairperson of the compensation committee and a member of the corporate responsibility and risk committee, PNM Resources, Inc., where she is chairperson of the compensation and human resources committee and a member of the audit &amp; ethics committee, and The Indiana Toll Road Concession LLC, where she is chair of the audit committee. Ms. Conley also serves on the Ball State University Board of Trustees and is chair of the board, and serves on the Ball State University Foundation.</w:t>
      </w:r>
    </w:p>
    <w:p>
      <w:pPr>
        <w:spacing w:after="0" w:line="107" w:lineRule="exact"/>
        <w:rPr>
          <w:sz w:val="20"/>
          <w:szCs w:val="20"/>
          <w:color w:val="auto"/>
        </w:rPr>
      </w:pPr>
    </w:p>
    <w:p>
      <w:pPr>
        <w:ind w:left="640" w:right="719" w:firstLine="309"/>
        <w:spacing w:after="0" w:line="270" w:lineRule="auto"/>
        <w:rPr>
          <w:sz w:val="20"/>
          <w:szCs w:val="20"/>
          <w:color w:val="auto"/>
        </w:rPr>
      </w:pPr>
      <w:r>
        <w:rPr>
          <w:rFonts w:ascii="Arial" w:cs="Arial" w:eastAsia="Arial" w:hAnsi="Arial"/>
          <w:sz w:val="12"/>
          <w:szCs w:val="12"/>
          <w:color w:val="auto"/>
        </w:rPr>
        <w:t>Mr. Ruisanchez is the co-founder of Sorelle Capital, Sorelle Entertainment and Sorelle Hospitality, a series of firms focused on investing in and helping grow companies with entrepreneurs in hospitality sectors and related real estate ventures. Prior to Sorelle, he served as President &amp; Chief Financial Officer of Pinnacle Entertainment, Inc., a leading regional gaming entertainment company, until its sale in October 2018. Carlos joined Pinnacle Entertainment, Inc in August 2008 as Executive Vice President, Strategic Planning and Development before becoming Chief Financial Officer in 2011 and President &amp; Chief Financial Officer in 2013. Prior to joining Pinnacle, Carlos worked at the investment banking firm Bear, Stearns &amp; Co. from 1997 through 2008. He served as Senior Managing Director responsible for corporate clients in the gaming, lodging and leisure industries, as well as financial sponsor banking relationships.</w:t>
      </w:r>
    </w:p>
    <w:p>
      <w:pPr>
        <w:sectPr>
          <w:pgSz w:w="11900" w:h="16838" w:orient="portrait"/>
          <w:cols w:equalWidth="0" w:num="1">
            <w:col w:w="9019"/>
          </w:cols>
          <w:pgMar w:left="1440" w:top="250" w:right="1440" w:bottom="1440" w:gutter="0" w:footer="0" w:header="0"/>
        </w:sectPr>
      </w:pPr>
    </w:p>
    <w:bookmarkStart w:id="2" w:name="page3"/>
    <w:bookmarkEnd w:id="2"/>
    <w:p>
      <w:pPr>
        <w:ind w:left="640" w:right="819" w:firstLine="309"/>
        <w:spacing w:after="0" w:line="26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Mr. Ruisanchez is a member of the Board of Directors of Cedar Fair L.P., where is a member of the compensation and audit committees, and he previously served on the Board of Pinnacle Entertainment, Inc.</w:t>
      </w:r>
    </w:p>
    <w:p>
      <w:pPr>
        <w:spacing w:after="0" w:line="130" w:lineRule="exact"/>
        <w:rPr>
          <w:sz w:val="20"/>
          <w:szCs w:val="20"/>
          <w:color w:val="auto"/>
        </w:rPr>
      </w:pPr>
    </w:p>
    <w:p>
      <w:pPr>
        <w:ind w:left="640" w:right="659" w:firstLine="309"/>
        <w:spacing w:after="0" w:line="293" w:lineRule="auto"/>
        <w:rPr>
          <w:sz w:val="20"/>
          <w:szCs w:val="20"/>
          <w:color w:val="auto"/>
        </w:rPr>
      </w:pPr>
      <w:r>
        <w:rPr>
          <w:rFonts w:ascii="Arial" w:cs="Arial" w:eastAsia="Arial" w:hAnsi="Arial"/>
          <w:sz w:val="11"/>
          <w:szCs w:val="11"/>
          <w:color w:val="auto"/>
        </w:rPr>
        <w:t>Ms. Conley’s and Mr. Ruisanchez’s compensation as directors will be consistent with the compensation policies applicable to the Company’s other independent directors. The Company will enter into indemnification agreements with Ms. Conley and Mr. Ruisanchez in connection with their appointments to the Board, which will be in substantially the same form as those entered into with the other directors of the Company. Neither</w:t>
      </w:r>
    </w:p>
    <w:p>
      <w:pPr>
        <w:spacing w:after="0" w:line="1" w:lineRule="exact"/>
        <w:rPr>
          <w:sz w:val="20"/>
          <w:szCs w:val="20"/>
          <w:color w:val="auto"/>
        </w:rPr>
      </w:pPr>
    </w:p>
    <w:p>
      <w:pPr>
        <w:ind w:left="640" w:right="659"/>
        <w:spacing w:after="0" w:line="287" w:lineRule="auto"/>
        <w:rPr>
          <w:sz w:val="20"/>
          <w:szCs w:val="20"/>
          <w:color w:val="auto"/>
        </w:rPr>
      </w:pPr>
      <w:r>
        <w:rPr>
          <w:rFonts w:ascii="Arial" w:cs="Arial" w:eastAsia="Arial" w:hAnsi="Arial"/>
          <w:sz w:val="12"/>
          <w:szCs w:val="12"/>
          <w:color w:val="auto"/>
        </w:rPr>
        <w:t>Ms. Conley, Mr. Ruisanchez nor any member of their immediate families has or had a direct or indirect interest in any transaction in which the Company or any of its subsidiaries is or was a participant that would be required to be disclosed under Item 404(a) of Regulation S-K.</w:t>
      </w:r>
    </w:p>
    <w:p>
      <w:pPr>
        <w:spacing w:after="0" w:line="116" w:lineRule="exact"/>
        <w:rPr>
          <w:sz w:val="20"/>
          <w:szCs w:val="20"/>
          <w:color w:val="auto"/>
        </w:rPr>
      </w:pPr>
    </w:p>
    <w:p>
      <w:pPr>
        <w:ind w:left="640" w:right="739" w:firstLine="309"/>
        <w:spacing w:after="0" w:line="295" w:lineRule="auto"/>
        <w:rPr>
          <w:sz w:val="20"/>
          <w:szCs w:val="20"/>
          <w:color w:val="auto"/>
        </w:rPr>
      </w:pPr>
      <w:r>
        <w:rPr>
          <w:rFonts w:ascii="Arial" w:cs="Arial" w:eastAsia="Arial" w:hAnsi="Arial"/>
          <w:sz w:val="11"/>
          <w:szCs w:val="11"/>
          <w:color w:val="auto"/>
        </w:rPr>
        <w:t>On November 5, 2021, Michael J. Melarkey and Stephen C. Comer each informed the Board of their decisions not to stand for reelection at the Company’s 2022 annual meeting of stockholders (the “Annual Meeting”). Messrs. Melarkey and Comer will continue as directors until the time of the Annual Meeting. Messrs. Melarkey and Comer have attained the retirement age as specified in the Company’s Corporate Governance Guidelines. In connection with the resignations by Messrs. Melarkey and Comer, the number of directors will be decreased by two directors, from 12 to 10, effective immediately prior to the Annual Meeting. Neither Mr. Melarkey’s resignation nor Mr. Comer’s resignation involved any disagreement on any matter relating to the Company’s operations, policies or practices. Effective at the time of the Annual Meeting, upon the effectiveness of Mr. Melarkey’s resignation, Robert L. Boughner, a current Board member, will replace Mr. Melarkey as Chair of the Board. Mr. Melarkey will continue to serve on the Compensation and Nominating and Corporate Governance committees of the Board until the effective time of his resignation. Mr. Comer will continue to serve on the Compensation Committee and the Audit Committee of the Board until the effective time of his resignation.</w:t>
      </w:r>
    </w:p>
    <w:p>
      <w:pPr>
        <w:spacing w:after="0" w:line="217" w:lineRule="exact"/>
        <w:rPr>
          <w:sz w:val="20"/>
          <w:szCs w:val="20"/>
          <w:color w:val="auto"/>
        </w:rPr>
      </w:pPr>
    </w:p>
    <w:p>
      <w:pPr>
        <w:ind w:left="640"/>
        <w:spacing w:after="0"/>
        <w:tabs>
          <w:tab w:leader="none" w:pos="1460" w:val="left"/>
        </w:tabs>
        <w:rPr>
          <w:sz w:val="20"/>
          <w:szCs w:val="20"/>
          <w:color w:val="auto"/>
        </w:rPr>
      </w:pPr>
      <w:r>
        <w:rPr>
          <w:rFonts w:ascii="Arial" w:cs="Arial" w:eastAsia="Arial" w:hAnsi="Arial"/>
          <w:sz w:val="13"/>
          <w:szCs w:val="13"/>
          <w:b w:val="1"/>
          <w:bCs w:val="1"/>
          <w:color w:val="auto"/>
        </w:rPr>
        <w:t>Item 7.01.</w:t>
      </w:r>
      <w:r>
        <w:rPr>
          <w:sz w:val="20"/>
          <w:szCs w:val="20"/>
          <w:color w:val="auto"/>
        </w:rPr>
        <w:tab/>
      </w:r>
      <w:r>
        <w:rPr>
          <w:rFonts w:ascii="Arial" w:cs="Arial" w:eastAsia="Arial" w:hAnsi="Arial"/>
          <w:sz w:val="11"/>
          <w:szCs w:val="11"/>
          <w:b w:val="1"/>
          <w:bCs w:val="1"/>
          <w:color w:val="auto"/>
        </w:rPr>
        <w:t>Regulation FD Disclosure</w:t>
      </w:r>
    </w:p>
    <w:p>
      <w:pPr>
        <w:spacing w:after="0" w:line="82" w:lineRule="exact"/>
        <w:rPr>
          <w:sz w:val="20"/>
          <w:szCs w:val="20"/>
          <w:color w:val="auto"/>
        </w:rPr>
      </w:pPr>
    </w:p>
    <w:p>
      <w:pPr>
        <w:ind w:left="640" w:right="759" w:firstLine="309"/>
        <w:spacing w:after="0" w:line="302" w:lineRule="auto"/>
        <w:rPr>
          <w:sz w:val="20"/>
          <w:szCs w:val="20"/>
          <w:color w:val="auto"/>
        </w:rPr>
      </w:pPr>
      <w:r>
        <w:rPr>
          <w:rFonts w:ascii="Arial" w:cs="Arial" w:eastAsia="Arial" w:hAnsi="Arial"/>
          <w:sz w:val="12"/>
          <w:szCs w:val="12"/>
          <w:color w:val="auto"/>
        </w:rPr>
        <w:t>On November 9, 2021, the Company issued a press release announcing the changes to the Board described under Item 5.02 above. A copy of the press release is attached to this Current Report on Form 8-K as Exhibit 99.1 and is incorporated herein by reference.</w:t>
      </w:r>
    </w:p>
    <w:p>
      <w:pPr>
        <w:spacing w:after="0" w:line="108" w:lineRule="exact"/>
        <w:rPr>
          <w:sz w:val="20"/>
          <w:szCs w:val="20"/>
          <w:color w:val="auto"/>
        </w:rPr>
      </w:pPr>
    </w:p>
    <w:p>
      <w:pPr>
        <w:ind w:left="640" w:right="779" w:firstLine="309"/>
        <w:spacing w:after="0" w:line="276" w:lineRule="auto"/>
        <w:rPr>
          <w:sz w:val="20"/>
          <w:szCs w:val="20"/>
          <w:color w:val="auto"/>
        </w:rPr>
      </w:pPr>
      <w:r>
        <w:rPr>
          <w:rFonts w:ascii="Arial" w:cs="Arial" w:eastAsia="Arial" w:hAnsi="Arial"/>
          <w:sz w:val="12"/>
          <w:szCs w:val="12"/>
          <w:color w:val="auto"/>
        </w:rPr>
        <w:t>On November 9, 2021, the Company issued a press release announcing that the Board has recommended that the Company’s stockholders reject the previously announced unsolicited tender offer to purchase any and all of the Company’s outstanding shares of common stock for $75 per share, being made by IEP Utility Holdings LLC and Icahn Enterprises Holdings L.P. (the “Tender Offer”). A copy of the press release is attached to this Current Report on Form 8-K as Exhibit 99.2 and is incorporated herein by reference.</w:t>
      </w:r>
    </w:p>
    <w:p>
      <w:pPr>
        <w:spacing w:after="0" w:line="123" w:lineRule="exact"/>
        <w:rPr>
          <w:sz w:val="20"/>
          <w:szCs w:val="20"/>
          <w:color w:val="auto"/>
        </w:rPr>
      </w:pPr>
    </w:p>
    <w:p>
      <w:pPr>
        <w:ind w:left="640" w:right="719" w:firstLine="309"/>
        <w:spacing w:after="0" w:line="276" w:lineRule="auto"/>
        <w:rPr>
          <w:sz w:val="20"/>
          <w:szCs w:val="20"/>
          <w:color w:val="auto"/>
        </w:rPr>
      </w:pPr>
      <w:r>
        <w:rPr>
          <w:rFonts w:ascii="Arial" w:cs="Arial" w:eastAsia="Arial" w:hAnsi="Arial"/>
          <w:sz w:val="12"/>
          <w:szCs w:val="12"/>
          <w:color w:val="auto"/>
        </w:rPr>
        <w:t>Also on November 9, 2021, (i) the Company held its quarterly earnings call; (ii) the Company made a presentation available to investors that was discussed on the earnings call; and (iii) the Company sent a set of frequently asked questions related to the Tender Offer and the Board’s recommendation to its employees. Copies of the investor presentation and the frequently asked questions for employees are attached to this Current Report on Form 8-K as Exhibits 99.3 and 99.4, respectively, and are incorporated herein by reference.</w:t>
      </w:r>
    </w:p>
    <w:p>
      <w:pPr>
        <w:spacing w:after="0" w:line="123" w:lineRule="exact"/>
        <w:rPr>
          <w:sz w:val="20"/>
          <w:szCs w:val="20"/>
          <w:color w:val="auto"/>
        </w:rPr>
      </w:pPr>
    </w:p>
    <w:p>
      <w:pPr>
        <w:ind w:left="640" w:right="959" w:firstLine="309"/>
        <w:spacing w:after="0" w:line="302" w:lineRule="auto"/>
        <w:rPr>
          <w:sz w:val="20"/>
          <w:szCs w:val="20"/>
          <w:color w:val="auto"/>
        </w:rPr>
      </w:pPr>
      <w:r>
        <w:rPr>
          <w:rFonts w:ascii="Arial" w:cs="Arial" w:eastAsia="Arial" w:hAnsi="Arial"/>
          <w:sz w:val="12"/>
          <w:szCs w:val="12"/>
          <w:color w:val="auto"/>
        </w:rPr>
        <w:t>The information in this Item 7.01, including Exhibits 99.1, 99.2, 99.3 and 99.4, shall not be deemed incorporated by reference into any filing under the Exchange Act or the Securities Act, regardless of any general incorporation language in such filing.</w:t>
      </w:r>
    </w:p>
    <w:p>
      <w:pPr>
        <w:sectPr>
          <w:pgSz w:w="11900" w:h="16838" w:orient="portrait"/>
          <w:cols w:equalWidth="0" w:num="1">
            <w:col w:w="9019"/>
          </w:cols>
          <w:pgMar w:left="1440" w:top="254" w:right="1440" w:bottom="1440" w:gutter="0" w:footer="0" w:header="0"/>
        </w:sectPr>
      </w:pPr>
    </w:p>
    <w:bookmarkStart w:id="3" w:name="page4"/>
    <w:bookmarkEnd w:id="3"/>
    <w:tbl>
      <w:tblPr>
        <w:tblLayout w:type="fixed"/>
        <w:tblInd w:w="640" w:type="dxa"/>
        <w:tblCellMar>
          <w:top w:w="0" w:type="dxa"/>
          <w:left w:w="0" w:type="dxa"/>
          <w:bottom w:w="0" w:type="dxa"/>
          <w:right w:w="0" w:type="dxa"/>
        </w:tblCellMar>
      </w:tblPr>
      <w:tr>
        <w:trPr>
          <w:trHeight w:val="165"/>
        </w:trPr>
        <w:tc>
          <w:tcPr>
            <w:tcW w:w="720" w:type="dxa"/>
            <w:vAlign w:val="bottom"/>
          </w:tcPr>
          <w:p>
            <w:pPr>
              <w:spacing w:after="0"/>
              <w:rPr>
                <w:sz w:val="20"/>
                <w:szCs w:val="20"/>
                <w:color w:val="auto"/>
              </w:rPr>
            </w:pPr>
            <w:r>
              <w:rPr>
                <w:rFonts w:ascii="Arial" w:cs="Arial" w:eastAsia="Arial" w:hAnsi="Arial"/>
                <w:sz w:val="13"/>
                <w:szCs w:val="13"/>
                <w:b w:val="1"/>
                <w:bCs w:val="1"/>
                <w:color w:val="auto"/>
              </w:rPr>
              <w:t>Item 9.01.</w:t>
            </w:r>
          </w:p>
        </w:tc>
        <w:tc>
          <w:tcPr>
            <w:tcW w:w="6660" w:type="dxa"/>
            <w:vAlign w:val="bottom"/>
            <w:gridSpan w:val="6"/>
          </w:tcPr>
          <w:p>
            <w:pPr>
              <w:ind w:left="120"/>
              <w:spacing w:after="0"/>
              <w:rPr>
                <w:sz w:val="20"/>
                <w:szCs w:val="20"/>
                <w:color w:val="auto"/>
              </w:rPr>
            </w:pPr>
            <w:r>
              <w:rPr>
                <w:rFonts w:ascii="Arial" w:cs="Arial" w:eastAsia="Arial" w:hAnsi="Arial"/>
                <w:sz w:val="13"/>
                <w:szCs w:val="13"/>
                <w:b w:val="1"/>
                <w:bCs w:val="1"/>
                <w:color w:val="auto"/>
              </w:rPr>
              <w:t>Financial Statements and Exhibits.</w:t>
            </w:r>
          </w:p>
        </w:tc>
      </w:tr>
      <w:tr>
        <w:trPr>
          <w:trHeight w:val="227"/>
        </w:trPr>
        <w:tc>
          <w:tcPr>
            <w:tcW w:w="720" w:type="dxa"/>
            <w:vAlign w:val="bottom"/>
          </w:tcPr>
          <w:p>
            <w:pPr>
              <w:spacing w:after="0"/>
              <w:rPr>
                <w:sz w:val="20"/>
                <w:szCs w:val="20"/>
                <w:color w:val="auto"/>
              </w:rPr>
            </w:pPr>
            <w:r>
              <w:rPr>
                <w:rFonts w:ascii="Arial" w:cs="Arial" w:eastAsia="Arial" w:hAnsi="Arial"/>
                <w:sz w:val="13"/>
                <w:szCs w:val="13"/>
                <w:color w:val="auto"/>
              </w:rPr>
              <w:t>(d) Exhibits.</w:t>
            </w:r>
          </w:p>
        </w:tc>
        <w:tc>
          <w:tcPr>
            <w:tcW w:w="10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60"/>
        </w:trPr>
        <w:tc>
          <w:tcPr>
            <w:tcW w:w="720" w:type="dxa"/>
            <w:vAlign w:val="bottom"/>
          </w:tcPr>
          <w:p>
            <w:pPr>
              <w:ind w:left="20"/>
              <w:spacing w:after="0"/>
              <w:rPr>
                <w:sz w:val="20"/>
                <w:szCs w:val="20"/>
                <w:color w:val="auto"/>
              </w:rPr>
            </w:pPr>
            <w:r>
              <w:rPr>
                <w:rFonts w:ascii="Arial" w:cs="Arial" w:eastAsia="Arial" w:hAnsi="Arial"/>
                <w:sz w:val="10"/>
                <w:szCs w:val="10"/>
                <w:b w:val="1"/>
                <w:bCs w:val="1"/>
                <w:color w:val="auto"/>
              </w:rPr>
              <w:t>Exhibit</w:t>
            </w:r>
          </w:p>
        </w:tc>
        <w:tc>
          <w:tcPr>
            <w:tcW w:w="10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128"/>
        </w:trPr>
        <w:tc>
          <w:tcPr>
            <w:tcW w:w="720" w:type="dxa"/>
            <w:vAlign w:val="bottom"/>
          </w:tcPr>
          <w:p>
            <w:pPr>
              <w:ind w:left="100"/>
              <w:spacing w:after="0" w:line="99" w:lineRule="exact"/>
              <w:rPr>
                <w:sz w:val="20"/>
                <w:szCs w:val="20"/>
                <w:color w:val="auto"/>
              </w:rPr>
            </w:pPr>
            <w:r>
              <w:rPr>
                <w:rFonts w:ascii="Arial" w:cs="Arial" w:eastAsia="Arial" w:hAnsi="Arial"/>
                <w:sz w:val="10"/>
                <w:szCs w:val="10"/>
                <w:b w:val="1"/>
                <w:bCs w:val="1"/>
                <w:color w:val="auto"/>
              </w:rPr>
              <w:t>No.</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Borders>
              <w:bottom w:val="single" w:sz="8" w:color="auto"/>
            </w:tcBorders>
          </w:tcPr>
          <w:p>
            <w:pPr>
              <w:spacing w:after="0" w:line="99" w:lineRule="exact"/>
              <w:rPr>
                <w:sz w:val="20"/>
                <w:szCs w:val="20"/>
                <w:color w:val="auto"/>
              </w:rPr>
            </w:pPr>
            <w:r>
              <w:rPr>
                <w:rFonts w:ascii="Arial" w:cs="Arial" w:eastAsia="Arial" w:hAnsi="Arial"/>
                <w:sz w:val="10"/>
                <w:szCs w:val="10"/>
                <w:b w:val="1"/>
                <w:bCs w:val="1"/>
                <w:color w:val="auto"/>
                <w:w w:val="87"/>
              </w:rPr>
              <w:t>Description</w:t>
            </w:r>
          </w:p>
        </w:tc>
        <w:tc>
          <w:tcPr>
            <w:tcW w:w="2900" w:type="dxa"/>
            <w:vAlign w:val="bottom"/>
            <w:gridSpan w:val="2"/>
          </w:tcPr>
          <w:p>
            <w:pPr>
              <w:spacing w:after="0"/>
              <w:rPr>
                <w:sz w:val="11"/>
                <w:szCs w:val="11"/>
                <w:color w:val="auto"/>
              </w:rPr>
            </w:pPr>
          </w:p>
        </w:tc>
      </w:tr>
      <w:tr>
        <w:trPr>
          <w:trHeight w:val="198"/>
        </w:trPr>
        <w:tc>
          <w:tcPr>
            <w:tcW w:w="720" w:type="dxa"/>
            <w:vAlign w:val="bottom"/>
          </w:tcPr>
          <w:p>
            <w:pPr>
              <w:spacing w:after="0"/>
              <w:rPr>
                <w:sz w:val="20"/>
                <w:szCs w:val="20"/>
                <w:color w:val="auto"/>
              </w:rPr>
            </w:pPr>
            <w:r>
              <w:rPr>
                <w:rFonts w:ascii="Arial" w:cs="Arial" w:eastAsia="Arial" w:hAnsi="Arial"/>
                <w:sz w:val="13"/>
                <w:szCs w:val="13"/>
                <w:color w:val="auto"/>
              </w:rPr>
              <w:t>99.1</w:t>
            </w:r>
          </w:p>
        </w:tc>
        <w:tc>
          <w:tcPr>
            <w:tcW w:w="5100" w:type="dxa"/>
            <w:vAlign w:val="bottom"/>
            <w:tcBorders>
              <w:bottom w:val="single" w:sz="8" w:color="0000EE"/>
            </w:tcBorders>
            <w:gridSpan w:val="5"/>
          </w:tcPr>
          <w:p>
            <w:pPr>
              <w:spacing w:after="0"/>
              <w:rPr>
                <w:rFonts w:ascii="Arial" w:cs="Arial" w:eastAsia="Arial" w:hAnsi="Arial"/>
                <w:sz w:val="13"/>
                <w:szCs w:val="13"/>
                <w:color w:val="0000EE"/>
                <w:w w:val="86"/>
              </w:rPr>
            </w:pPr>
            <w:hyperlink w:anchor="page7">
              <w:r>
                <w:rPr>
                  <w:rFonts w:ascii="Arial" w:cs="Arial" w:eastAsia="Arial" w:hAnsi="Arial"/>
                  <w:sz w:val="13"/>
                  <w:szCs w:val="13"/>
                  <w:color w:val="0000EE"/>
                  <w:w w:val="86"/>
                </w:rPr>
                <w:t>Press Release dated November 9, 2021 with respect to changes to the Company’s Board of Directors</w:t>
              </w:r>
            </w:hyperlink>
          </w:p>
        </w:tc>
        <w:tc>
          <w:tcPr>
            <w:tcW w:w="1560" w:type="dxa"/>
            <w:vAlign w:val="bottom"/>
          </w:tcPr>
          <w:p>
            <w:pPr>
              <w:spacing w:after="0"/>
              <w:rPr>
                <w:sz w:val="17"/>
                <w:szCs w:val="17"/>
                <w:color w:val="auto"/>
              </w:rPr>
            </w:pPr>
          </w:p>
        </w:tc>
      </w:tr>
      <w:tr>
        <w:trPr>
          <w:trHeight w:val="207"/>
        </w:trPr>
        <w:tc>
          <w:tcPr>
            <w:tcW w:w="720" w:type="dxa"/>
            <w:vAlign w:val="bottom"/>
          </w:tcPr>
          <w:p>
            <w:pPr>
              <w:spacing w:after="0"/>
              <w:rPr>
                <w:sz w:val="20"/>
                <w:szCs w:val="20"/>
                <w:color w:val="auto"/>
              </w:rPr>
            </w:pPr>
            <w:r>
              <w:rPr>
                <w:rFonts w:ascii="Arial" w:cs="Arial" w:eastAsia="Arial" w:hAnsi="Arial"/>
                <w:sz w:val="13"/>
                <w:szCs w:val="13"/>
                <w:color w:val="auto"/>
              </w:rPr>
              <w:t>99.2</w:t>
            </w:r>
          </w:p>
        </w:tc>
        <w:tc>
          <w:tcPr>
            <w:tcW w:w="6660" w:type="dxa"/>
            <w:vAlign w:val="bottom"/>
            <w:tcBorders>
              <w:bottom w:val="single" w:sz="8" w:color="0000EE"/>
            </w:tcBorders>
            <w:gridSpan w:val="6"/>
          </w:tcPr>
          <w:p>
            <w:pPr>
              <w:spacing w:after="0"/>
              <w:rPr>
                <w:rFonts w:ascii="Arial" w:cs="Arial" w:eastAsia="Arial" w:hAnsi="Arial"/>
                <w:sz w:val="13"/>
                <w:szCs w:val="13"/>
                <w:color w:val="0000EE"/>
                <w:w w:val="87"/>
              </w:rPr>
            </w:pPr>
            <w:hyperlink w:anchor="page12">
              <w:r>
                <w:rPr>
                  <w:rFonts w:ascii="Arial" w:cs="Arial" w:eastAsia="Arial" w:hAnsi="Arial"/>
                  <w:sz w:val="13"/>
                  <w:szCs w:val="13"/>
                  <w:color w:val="0000EE"/>
                  <w:w w:val="87"/>
                </w:rPr>
                <w:t>Press Release, dated November 9, 2021, with respect to the Board of Director’s recommendation regarding the pending tender offer</w:t>
              </w:r>
            </w:hyperlink>
          </w:p>
        </w:tc>
      </w:tr>
      <w:tr>
        <w:trPr>
          <w:trHeight w:val="207"/>
        </w:trPr>
        <w:tc>
          <w:tcPr>
            <w:tcW w:w="720" w:type="dxa"/>
            <w:vAlign w:val="bottom"/>
          </w:tcPr>
          <w:p>
            <w:pPr>
              <w:spacing w:after="0"/>
              <w:rPr>
                <w:sz w:val="20"/>
                <w:szCs w:val="20"/>
                <w:color w:val="auto"/>
              </w:rPr>
            </w:pPr>
            <w:r>
              <w:rPr>
                <w:rFonts w:ascii="Arial" w:cs="Arial" w:eastAsia="Arial" w:hAnsi="Arial"/>
                <w:sz w:val="13"/>
                <w:szCs w:val="13"/>
                <w:color w:val="auto"/>
              </w:rPr>
              <w:t>99.3</w:t>
            </w:r>
          </w:p>
        </w:tc>
        <w:tc>
          <w:tcPr>
            <w:tcW w:w="1080" w:type="dxa"/>
            <w:vAlign w:val="bottom"/>
            <w:tcBorders>
              <w:bottom w:val="single" w:sz="8" w:color="0000EE"/>
            </w:tcBorders>
          </w:tcPr>
          <w:p>
            <w:pPr>
              <w:spacing w:after="0"/>
              <w:rPr>
                <w:rFonts w:ascii="Arial" w:cs="Arial" w:eastAsia="Arial" w:hAnsi="Arial"/>
                <w:sz w:val="13"/>
                <w:szCs w:val="13"/>
                <w:color w:val="0000EE"/>
                <w:w w:val="86"/>
              </w:rPr>
            </w:pPr>
            <w:hyperlink w:anchor="page20">
              <w:r>
                <w:rPr>
                  <w:rFonts w:ascii="Arial" w:cs="Arial" w:eastAsia="Arial" w:hAnsi="Arial"/>
                  <w:sz w:val="13"/>
                  <w:szCs w:val="13"/>
                  <w:color w:val="0000EE"/>
                  <w:w w:val="86"/>
                </w:rPr>
                <w:t>Investor Presentation</w:t>
              </w:r>
            </w:hyperlink>
          </w:p>
        </w:tc>
        <w:tc>
          <w:tcPr>
            <w:tcW w:w="5580" w:type="dxa"/>
            <w:vAlign w:val="bottom"/>
            <w:gridSpan w:val="5"/>
          </w:tcPr>
          <w:p>
            <w:pPr>
              <w:spacing w:after="0"/>
              <w:rPr>
                <w:sz w:val="18"/>
                <w:szCs w:val="18"/>
                <w:color w:val="auto"/>
              </w:rPr>
            </w:pPr>
          </w:p>
        </w:tc>
      </w:tr>
      <w:tr>
        <w:trPr>
          <w:trHeight w:val="207"/>
        </w:trPr>
        <w:tc>
          <w:tcPr>
            <w:tcW w:w="720" w:type="dxa"/>
            <w:vAlign w:val="bottom"/>
          </w:tcPr>
          <w:p>
            <w:pPr>
              <w:spacing w:after="0"/>
              <w:rPr>
                <w:sz w:val="20"/>
                <w:szCs w:val="20"/>
                <w:color w:val="auto"/>
              </w:rPr>
            </w:pPr>
            <w:r>
              <w:rPr>
                <w:rFonts w:ascii="Arial" w:cs="Arial" w:eastAsia="Arial" w:hAnsi="Arial"/>
                <w:sz w:val="13"/>
                <w:szCs w:val="13"/>
                <w:color w:val="auto"/>
              </w:rPr>
              <w:t>99.4</w:t>
            </w:r>
          </w:p>
        </w:tc>
        <w:tc>
          <w:tcPr>
            <w:tcW w:w="2220" w:type="dxa"/>
            <w:vAlign w:val="bottom"/>
            <w:tcBorders>
              <w:bottom w:val="single" w:sz="8" w:color="0000EE"/>
            </w:tcBorders>
            <w:gridSpan w:val="2"/>
          </w:tcPr>
          <w:p>
            <w:pPr>
              <w:spacing w:after="0"/>
              <w:rPr>
                <w:rFonts w:ascii="Arial" w:cs="Arial" w:eastAsia="Arial" w:hAnsi="Arial"/>
                <w:sz w:val="13"/>
                <w:szCs w:val="13"/>
                <w:color w:val="0000EE"/>
                <w:w w:val="87"/>
              </w:rPr>
            </w:pPr>
            <w:hyperlink w:anchor="page85">
              <w:r>
                <w:rPr>
                  <w:rFonts w:ascii="Arial" w:cs="Arial" w:eastAsia="Arial" w:hAnsi="Arial"/>
                  <w:sz w:val="13"/>
                  <w:szCs w:val="13"/>
                  <w:color w:val="0000EE"/>
                  <w:w w:val="87"/>
                </w:rPr>
                <w:t>Frequently Asked Questions for Employees</w:t>
              </w:r>
            </w:hyperlink>
          </w:p>
        </w:tc>
        <w:tc>
          <w:tcPr>
            <w:tcW w:w="4440" w:type="dxa"/>
            <w:vAlign w:val="bottom"/>
            <w:gridSpan w:val="4"/>
          </w:tcPr>
          <w:p>
            <w:pPr>
              <w:spacing w:after="0"/>
              <w:rPr>
                <w:sz w:val="18"/>
                <w:szCs w:val="18"/>
                <w:color w:val="auto"/>
              </w:rPr>
            </w:pPr>
          </w:p>
        </w:tc>
      </w:tr>
      <w:tr>
        <w:trPr>
          <w:trHeight w:val="236"/>
        </w:trPr>
        <w:tc>
          <w:tcPr>
            <w:tcW w:w="720" w:type="dxa"/>
            <w:vAlign w:val="bottom"/>
          </w:tcPr>
          <w:p>
            <w:pPr>
              <w:spacing w:after="0"/>
              <w:rPr>
                <w:sz w:val="20"/>
                <w:szCs w:val="20"/>
                <w:color w:val="auto"/>
              </w:rPr>
            </w:pPr>
            <w:r>
              <w:rPr>
                <w:rFonts w:ascii="Arial" w:cs="Arial" w:eastAsia="Arial" w:hAnsi="Arial"/>
                <w:sz w:val="13"/>
                <w:szCs w:val="13"/>
                <w:color w:val="auto"/>
              </w:rPr>
              <w:t>104</w:t>
            </w:r>
          </w:p>
        </w:tc>
        <w:tc>
          <w:tcPr>
            <w:tcW w:w="6660" w:type="dxa"/>
            <w:vAlign w:val="bottom"/>
            <w:gridSpan w:val="6"/>
          </w:tcPr>
          <w:p>
            <w:pPr>
              <w:spacing w:after="0"/>
              <w:rPr>
                <w:sz w:val="20"/>
                <w:szCs w:val="20"/>
                <w:color w:val="auto"/>
              </w:rPr>
            </w:pPr>
            <w:r>
              <w:rPr>
                <w:rFonts w:ascii="Arial" w:cs="Arial" w:eastAsia="Arial" w:hAnsi="Arial"/>
                <w:sz w:val="13"/>
                <w:szCs w:val="13"/>
                <w:color w:val="auto"/>
              </w:rPr>
              <w:t>Cover Page formatted in Inline XBRL.</w:t>
            </w: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4254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3"/>
          <w:szCs w:val="13"/>
          <w:b w:val="1"/>
          <w:bCs w:val="1"/>
          <w:color w:val="auto"/>
        </w:rPr>
        <w:t>How to Find Further Information</w:t>
      </w:r>
    </w:p>
    <w:p>
      <w:pPr>
        <w:spacing w:after="0" w:line="82" w:lineRule="exact"/>
        <w:rPr>
          <w:sz w:val="20"/>
          <w:szCs w:val="20"/>
          <w:color w:val="auto"/>
        </w:rPr>
      </w:pPr>
    </w:p>
    <w:p>
      <w:pPr>
        <w:ind w:left="640" w:right="659"/>
        <w:spacing w:after="0" w:line="268" w:lineRule="auto"/>
        <w:rPr>
          <w:sz w:val="20"/>
          <w:szCs w:val="20"/>
          <w:color w:val="auto"/>
        </w:rPr>
      </w:pPr>
      <w:r>
        <w:rPr>
          <w:rFonts w:ascii="Arial" w:cs="Arial" w:eastAsia="Arial" w:hAnsi="Arial"/>
          <w:sz w:val="12"/>
          <w:szCs w:val="12"/>
          <w:color w:val="auto"/>
        </w:rPr>
        <w:t>This communication does not constitute a solicitation of any vote or approval in connection with Annual Meeting. In connection with the Annual Meeting, the Company will file a proxy statement with the U.S. Securities and Exchange Commission (“SEC”), which the Company will furnish, with any other relevant information or documents, to its stockholders in connection with the Annual Meeting. BEFORE MAKING ANY VOTING DECISION, WE URGE STOCKHOLDERS TO READ THE PROXY STATEMENT (INCLUDING ALL AMENDMENTS AND SUPPLEMENTS THERETO) AND OTHER DOCUMENTS WHEN SUCH INFORMATION IS FILED WITH THE SEC CAREFULLY AND IN THEIR ENTIRETY WHEN THEY BECOME AVAILABLE, BECAUSE THEY WILL CONTAIN IMPORTANT INFORMATION ABOUT THE COMPANY AND THE ANNUAL MEETING. The proposals for the Annual Meeting will be made solely through the proxy statement. In addition, a copy of the proxy statement (when it becomes available) may be obtained free of charge from www.swgasholdings.com/proxymaterials. Security holders also will be able to obtain, free of charge, copies of the proxy statement and any other documents filed by Company with the SEC in connection with the Annual Meeting at the SEC’s website at http://www.sec.gov, and at the companies’ website at www.swgasholdings.com.</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Important Information for Investors and Stockholders</w:t>
      </w:r>
    </w:p>
    <w:p>
      <w:pPr>
        <w:spacing w:after="0" w:line="82" w:lineRule="exact"/>
        <w:rPr>
          <w:sz w:val="20"/>
          <w:szCs w:val="20"/>
          <w:color w:val="auto"/>
        </w:rPr>
      </w:pPr>
    </w:p>
    <w:p>
      <w:pPr>
        <w:ind w:left="640" w:right="759"/>
        <w:spacing w:after="0" w:line="298" w:lineRule="auto"/>
        <w:rPr>
          <w:sz w:val="20"/>
          <w:szCs w:val="20"/>
          <w:color w:val="auto"/>
        </w:rPr>
      </w:pPr>
      <w:r>
        <w:rPr>
          <w:rFonts w:ascii="Arial" w:cs="Arial" w:eastAsia="Arial" w:hAnsi="Arial"/>
          <w:sz w:val="11"/>
          <w:szCs w:val="11"/>
          <w:color w:val="auto"/>
        </w:rPr>
        <w:t>This communication does not constitute an offer to buy or solicitation of an offer to sell any securities. In response to the tender offer for the shares of the Company commenced by IEP Utility Holdings LLC and Icahn Enterprises Holdings L.P., the Company has filed a solicitation/recommendation statement on Schedule 14D-9 with the SEC. INVESTORS AND STOCKHOLDERS OF SOUTHWEST GAS HOLDINGS ARE URGED TO READ THE SOLICITATION/RECOMMENDATION STATEMENT AND OTHER DOCUMENTS FILED WITH THE SEC CAREFULLY IN THEIR ENTIRETY BECAUSE THEY WILL CONTAIN IMPORTANT INFORMATION. Investors and stockholders may obtain a free copy of these documents free of charge at the SEC’s website at www.sec.gov, and at the Company’s website at www.swgasholdings.com. In addition, copies of these materials may be requested from the Company’s information agent, Innisfree M&amp;A Incorporated, toll-free at (877) 825-8621.</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Forward-Looking Statements</w:t>
      </w:r>
    </w:p>
    <w:p>
      <w:pPr>
        <w:spacing w:after="0" w:line="82" w:lineRule="exact"/>
        <w:rPr>
          <w:sz w:val="20"/>
          <w:szCs w:val="20"/>
          <w:color w:val="auto"/>
        </w:rPr>
      </w:pPr>
    </w:p>
    <w:p>
      <w:pPr>
        <w:ind w:left="640" w:right="719"/>
        <w:spacing w:after="0" w:line="266" w:lineRule="auto"/>
        <w:rPr>
          <w:sz w:val="20"/>
          <w:szCs w:val="20"/>
          <w:color w:val="auto"/>
        </w:rPr>
      </w:pPr>
      <w:r>
        <w:rPr>
          <w:rFonts w:ascii="Arial" w:cs="Arial" w:eastAsia="Arial" w:hAnsi="Arial"/>
          <w:sz w:val="12"/>
          <w:szCs w:val="12"/>
          <w:color w:val="auto"/>
        </w:rPr>
        <w:t>This document contains forward-looking statements within the meaning of Section 27A of the Securities Act of 1933, as amended, and Section 21E of the Securities Exchange Act of 1934, as amended. These statements are based on current expectations, estimates and projections about, among others, the industry, markets in which Southwest Gas Holdings, Inc. (the “Company,” “Southwest Gas Holdings,” “SWX,” or “we”) operates, and the matters described in this press release. While the Company’s management believes the assumptions underlying its forward-looking statements and information are reasonable, such information is necessarily subject to uncertainties and may involve certain risks, many of which are difficult to predict and are beyond the control of the Company’s management. A number of important factors affecting the business and financial results of the Company could cause actual results to differ materially from those stated in the forward-looking statements. These factors include, but are not limited to, the timing and amount of rate relief, changes in rate design, customer growth rates, the effects of regulation/deregulation, tax reform and related regulatory decisions, the impacts of construction activity at Centuri, future earnings trends, seasonal patterns, and the impacts of stock market volatility. In addition, the Company can provide no assurance that its discussions about future operating margin, operating income, pension costs, COLI results, and capital expenditures of the natural gas segment will occur. Likewise, the Company can provide no assurance that discussions regarding utility infrastructure services segment revenues, operating income as a percentage of revenues, interest expense, and noncontrolling interest amounts will transpire, nor assurance regarding acquisitions or their impacts, including management’s plans related thereto, such as that currently planned in regard to Riggs Distler &amp; Company, Inc. and</w:t>
      </w:r>
    </w:p>
    <w:p>
      <w:pPr>
        <w:sectPr>
          <w:pgSz w:w="11900" w:h="16838" w:orient="portrait"/>
          <w:cols w:equalWidth="0" w:num="1">
            <w:col w:w="9019"/>
          </w:cols>
          <w:pgMar w:left="1440" w:top="250" w:right="1440" w:bottom="1440" w:gutter="0" w:footer="0" w:header="0"/>
        </w:sectPr>
      </w:pPr>
    </w:p>
    <w:bookmarkStart w:id="4" w:name="page5"/>
    <w:bookmarkEnd w:id="4"/>
    <w:p>
      <w:pPr>
        <w:ind w:left="640" w:right="679"/>
        <w:spacing w:after="0" w:line="26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42545"/>
                    </a:xfrm>
                    <a:prstGeom prst="rect">
                      <a:avLst/>
                    </a:prstGeom>
                    <a:noFill/>
                  </pic:spPr>
                </pic:pic>
              </a:graphicData>
            </a:graphic>
          </wp:anchor>
        </w:drawing>
        <w:t>the pending acquisition of Dominion Energy Questar Pipeline, LLC and related entities (the “Questar Pipeline Group”). Additional risks include the occurrence of any event, change or other circumstances that could give rise to the termination of the Sale and Purchase Agreement by and between Dominion Energy Questar Corporation and the Company (the “Questar Purchase Agreement”), the outcome of any legal proceedings that may be instituted against the Company and others following announcement of the Questar Purchase Agreement, risks that the proposed transaction disrupts current plans and operations, the risks related to the ability of the Company to integrate the Questar Pipeline Group, the amount of the costs, fees, expenses and charges related to the transaction and the actual terms of certain financings that will be obtained for the transaction, potential negative impacts to the Company’s credit ratings as a result of the transaction, the disruption to the Company’s stock price and the costs, fees, expenses and charges related to, and the distraction of management’s attention in connection with, any proxy contest or other stockholder related or similar matters, as well as other risks that are set forth under “Risk Factors” in the Company’s Annual Report on Form 10-K for the year ended December 31, 2020, the Company’s Quarterly Reports on Form 10-Q for the quarters ended June 30, 2021 and September 30, 2021 and in future filings with the SEC. All forward-looking statements speak only as of the date of this press release. All subsequent written and oral forward-looking statements attributable to the Company or any person acting on its behalf are qualified by the cautionary statements in this section. The Company undertakes no obligation to update or publicly release any revisions to forward-looking statements to reflect events, circumstances or changes in expectations after the date of this Current Report on Form 8-K.</w:t>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Participants in the Solicitation</w:t>
      </w:r>
    </w:p>
    <w:p>
      <w:pPr>
        <w:spacing w:after="0" w:line="82" w:lineRule="exact"/>
        <w:rPr>
          <w:sz w:val="20"/>
          <w:szCs w:val="20"/>
          <w:color w:val="auto"/>
        </w:rPr>
      </w:pPr>
    </w:p>
    <w:p>
      <w:pPr>
        <w:ind w:left="640" w:right="739"/>
        <w:spacing w:after="0" w:line="273" w:lineRule="auto"/>
        <w:rPr>
          <w:sz w:val="20"/>
          <w:szCs w:val="20"/>
          <w:color w:val="auto"/>
        </w:rPr>
      </w:pPr>
      <w:r>
        <w:rPr>
          <w:rFonts w:ascii="Arial" w:cs="Arial" w:eastAsia="Arial" w:hAnsi="Arial"/>
          <w:sz w:val="12"/>
          <w:szCs w:val="12"/>
          <w:color w:val="auto"/>
        </w:rPr>
        <w:t>The directors and officers of the Company may be deemed to be participants in the solicitation of proxies in connection with the Annual Meeting. Information regarding the Company’s directors and officers and their respective interests in the Company by security holdings or otherwise is available in its most recent Annual Report on Form 10-K filed with the SEC and its most recent definitive Proxy Statement on Schedule 14A filed with the SEC. Additional information regarding the interests of such potential participants is or will be included in the proxy statement for the Annual Meeting and other relevant materials to be filed with the SEC, when they become available.</w:t>
      </w:r>
    </w:p>
    <w:p>
      <w:pPr>
        <w:sectPr>
          <w:pgSz w:w="11900" w:h="16838" w:orient="portrait"/>
          <w:cols w:equalWidth="0" w:num="1">
            <w:col w:w="9019"/>
          </w:cols>
          <w:pgMar w:left="1440" w:top="254" w:right="1440"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8" w:lineRule="exact"/>
        <w:rPr>
          <w:sz w:val="20"/>
          <w:szCs w:val="20"/>
          <w:color w:val="auto"/>
        </w:rPr>
      </w:pPr>
    </w:p>
    <w:p>
      <w:pPr>
        <w:ind w:left="640" w:right="1179"/>
        <w:spacing w:after="0" w:line="261"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149"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SOUTHWEST GAS HOLDINGS, INC.</w:t>
      </w:r>
    </w:p>
    <w:p>
      <w:pPr>
        <w:spacing w:after="0" w:line="154" w:lineRule="exact"/>
        <w:rPr>
          <w:sz w:val="20"/>
          <w:szCs w:val="20"/>
          <w:color w:val="auto"/>
        </w:rPr>
      </w:pPr>
    </w:p>
    <w:p>
      <w:pPr>
        <w:ind w:left="6160"/>
        <w:spacing w:after="0"/>
        <w:rPr>
          <w:sz w:val="20"/>
          <w:szCs w:val="20"/>
          <w:color w:val="auto"/>
        </w:rPr>
      </w:pPr>
      <w:r>
        <w:rPr>
          <w:rFonts w:ascii="Arial" w:cs="Arial" w:eastAsia="Arial" w:hAnsi="Arial"/>
          <w:sz w:val="13"/>
          <w:szCs w:val="13"/>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6985</wp:posOffset>
            </wp:positionV>
            <wp:extent cx="220853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 w:lineRule="exact"/>
        <w:rPr>
          <w:sz w:val="20"/>
          <w:szCs w:val="20"/>
          <w:color w:val="auto"/>
        </w:rPr>
      </w:pPr>
    </w:p>
    <w:p>
      <w:pPr>
        <w:ind w:left="640"/>
        <w:spacing w:after="0"/>
        <w:tabs>
          <w:tab w:leader="none" w:pos="6220" w:val="left"/>
        </w:tabs>
        <w:rPr>
          <w:sz w:val="20"/>
          <w:szCs w:val="20"/>
          <w:color w:val="auto"/>
        </w:rPr>
      </w:pPr>
      <w:r>
        <w:rPr>
          <w:rFonts w:ascii="Arial" w:cs="Arial" w:eastAsia="Arial" w:hAnsi="Arial"/>
          <w:sz w:val="13"/>
          <w:szCs w:val="13"/>
          <w:color w:val="auto"/>
        </w:rPr>
        <w:t>Date: November 9, 2021</w:t>
      </w:r>
      <w:r>
        <w:rPr>
          <w:sz w:val="20"/>
          <w:szCs w:val="20"/>
          <w:color w:val="auto"/>
        </w:rPr>
        <w:tab/>
      </w:r>
      <w:r>
        <w:rPr>
          <w:rFonts w:ascii="Arial" w:cs="Arial" w:eastAsia="Arial" w:hAnsi="Arial"/>
          <w:sz w:val="11"/>
          <w:szCs w:val="11"/>
          <w:color w:val="auto"/>
        </w:rPr>
        <w:t>Karen S. Haller</w:t>
      </w:r>
    </w:p>
    <w:p>
      <w:pPr>
        <w:spacing w:after="0" w:line="12" w:lineRule="exact"/>
        <w:rPr>
          <w:sz w:val="20"/>
          <w:szCs w:val="20"/>
          <w:color w:val="auto"/>
        </w:rPr>
      </w:pPr>
    </w:p>
    <w:p>
      <w:pPr>
        <w:jc w:val="center"/>
        <w:ind w:left="4240"/>
        <w:spacing w:after="0"/>
        <w:rPr>
          <w:sz w:val="20"/>
          <w:szCs w:val="20"/>
          <w:color w:val="auto"/>
        </w:rPr>
      </w:pPr>
      <w:r>
        <w:rPr>
          <w:rFonts w:ascii="Arial" w:cs="Arial" w:eastAsia="Arial" w:hAnsi="Arial"/>
          <w:sz w:val="13"/>
          <w:szCs w:val="13"/>
          <w:color w:val="auto"/>
        </w:rPr>
        <w:t>Executive Vice President/Chief Legal and</w:t>
      </w:r>
    </w:p>
    <w:p>
      <w:pPr>
        <w:spacing w:after="0" w:line="11" w:lineRule="exact"/>
        <w:rPr>
          <w:sz w:val="20"/>
          <w:szCs w:val="20"/>
          <w:color w:val="auto"/>
        </w:rPr>
      </w:pPr>
    </w:p>
    <w:p>
      <w:pPr>
        <w:jc w:val="center"/>
        <w:ind w:left="4240"/>
        <w:spacing w:after="0"/>
        <w:rPr>
          <w:sz w:val="20"/>
          <w:szCs w:val="20"/>
          <w:color w:val="auto"/>
        </w:rPr>
      </w:pPr>
      <w:r>
        <w:rPr>
          <w:rFonts w:ascii="Arial" w:cs="Arial" w:eastAsia="Arial" w:hAnsi="Arial"/>
          <w:sz w:val="13"/>
          <w:szCs w:val="13"/>
          <w:color w:val="auto"/>
        </w:rPr>
        <w:t>Administrative Officer</w:t>
      </w:r>
    </w:p>
    <w:p>
      <w:pPr>
        <w:sectPr>
          <w:pgSz w:w="11900" w:h="16838" w:orient="portrait"/>
          <w:cols w:equalWidth="0" w:num="1">
            <w:col w:w="9019"/>
          </w:cols>
          <w:pgMar w:left="1440" w:top="250" w:right="1440" w:bottom="1440" w:gutter="0" w:footer="0" w:header="0"/>
        </w:sectPr>
      </w:pPr>
    </w:p>
    <w:bookmarkStart w:id="6" w:name="page7"/>
    <w:bookmarkEnd w:id="6"/>
    <w:p>
      <w:pPr>
        <w:jc w:val="right"/>
        <w:ind w:right="639"/>
        <w:spacing w:after="0"/>
        <w:rPr>
          <w:sz w:val="20"/>
          <w:szCs w:val="20"/>
          <w:color w:val="auto"/>
        </w:rPr>
      </w:pPr>
      <w:r>
        <w:rPr>
          <w:rFonts w:ascii="Arial" w:cs="Arial" w:eastAsia="Arial" w:hAnsi="Arial"/>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118110</wp:posOffset>
            </wp:positionV>
            <wp:extent cx="896620" cy="4813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96620" cy="481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FOR IMMEDIATE RELEASE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Southwest Gas Holdings Announces Board Refreshment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E. Renae Conley Adds Significant Leadership Experience and Regulatory Insight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Carlos A. Ruisanchez Brings a Proven Record of Strategic Investing and Executing Capital Growth Initiatives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Michael J. Melarkey and Stephen C. Comer to Retire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Robert L. Boughner Appointed Next Chair of the Board</w:t>
      </w:r>
    </w:p>
    <w:p>
      <w:pPr>
        <w:spacing w:after="0" w:line="150" w:lineRule="exact"/>
        <w:rPr>
          <w:sz w:val="20"/>
          <w:szCs w:val="20"/>
          <w:color w:val="auto"/>
        </w:rPr>
      </w:pPr>
    </w:p>
    <w:p>
      <w:pPr>
        <w:ind w:left="640" w:right="839"/>
        <w:spacing w:after="0" w:line="272" w:lineRule="auto"/>
        <w:rPr>
          <w:sz w:val="20"/>
          <w:szCs w:val="20"/>
          <w:color w:val="auto"/>
        </w:rPr>
      </w:pPr>
      <w:r>
        <w:rPr>
          <w:rFonts w:ascii="Arial" w:cs="Arial" w:eastAsia="Arial" w:hAnsi="Arial"/>
          <w:sz w:val="12"/>
          <w:szCs w:val="12"/>
          <w:b w:val="1"/>
          <w:bCs w:val="1"/>
          <w:color w:val="auto"/>
        </w:rPr>
        <w:t xml:space="preserve">LAS VEGAS – November 9, 2021 – </w:t>
      </w:r>
      <w:r>
        <w:rPr>
          <w:rFonts w:ascii="Arial" w:cs="Arial" w:eastAsia="Arial" w:hAnsi="Arial"/>
          <w:sz w:val="12"/>
          <w:szCs w:val="12"/>
          <w:color w:val="auto"/>
        </w:rPr>
        <w:t>Southwest Gas Holdings, Inc. (NYSE: SWX) (the “Company”) today announced the appointment of E. Renae</w:t>
      </w:r>
      <w:r>
        <w:rPr>
          <w:rFonts w:ascii="Arial" w:cs="Arial" w:eastAsia="Arial" w:hAnsi="Arial"/>
          <w:sz w:val="12"/>
          <w:szCs w:val="12"/>
          <w:b w:val="1"/>
          <w:bCs w:val="1"/>
          <w:color w:val="auto"/>
        </w:rPr>
        <w:t xml:space="preserve"> </w:t>
      </w:r>
      <w:r>
        <w:rPr>
          <w:rFonts w:ascii="Arial" w:cs="Arial" w:eastAsia="Arial" w:hAnsi="Arial"/>
          <w:sz w:val="12"/>
          <w:szCs w:val="12"/>
          <w:color w:val="auto"/>
        </w:rPr>
        <w:t>Conley, Chief Executive Officer of ER Solutions, LLC, and Carlos A. Ruisanchez, co-founder of Sorelle Capital, Sorelle Entertainment and Sorelle Hospitality, to its Board of Directors, effective January 1, 2022. The Company also announced Michael J. Melarkey and Stephen C. Comer will retire from the Board at the time of the Company’s 2022 Annual Meeting of Stockholders. Robert L. Boughner has been appointed as Chair of the Board effective at the Company’s 2022 Annual Meeting of Stockholders. Following the Company’s 2022 Annual Meeting of Stockholders, the Board will comprise 10 directors, nine of whom are independent.</w:t>
      </w:r>
    </w:p>
    <w:p>
      <w:pPr>
        <w:spacing w:after="0" w:line="127" w:lineRule="exact"/>
        <w:rPr>
          <w:sz w:val="20"/>
          <w:szCs w:val="20"/>
          <w:color w:val="auto"/>
        </w:rPr>
      </w:pPr>
    </w:p>
    <w:p>
      <w:pPr>
        <w:ind w:left="640" w:right="699"/>
        <w:spacing w:after="0" w:line="249" w:lineRule="auto"/>
        <w:rPr>
          <w:sz w:val="20"/>
          <w:szCs w:val="20"/>
          <w:color w:val="auto"/>
        </w:rPr>
      </w:pPr>
      <w:r>
        <w:rPr>
          <w:rFonts w:ascii="Arial" w:cs="Arial" w:eastAsia="Arial" w:hAnsi="Arial"/>
          <w:sz w:val="13"/>
          <w:szCs w:val="13"/>
          <w:color w:val="auto"/>
        </w:rPr>
        <w:t>Ms. Conley and Mr. Ruisanchez are both highly-qualified Board members, who bring proven experience and financial and operational expertise to the Southwest Gas Holdings Board. Renae Conley has more than 30 years of executive experience in the energy industry, including significant leadership positions in operations, finance and human resources. Carlos Ruisanchez is a seasoned executive with more than 25 years of strategy, finance and senior management experience.</w:t>
      </w:r>
    </w:p>
    <w:p>
      <w:pPr>
        <w:spacing w:after="0" w:line="138" w:lineRule="exact"/>
        <w:rPr>
          <w:sz w:val="20"/>
          <w:szCs w:val="20"/>
          <w:color w:val="auto"/>
        </w:rPr>
      </w:pPr>
    </w:p>
    <w:p>
      <w:pPr>
        <w:ind w:left="640" w:right="719"/>
        <w:spacing w:after="0" w:line="300" w:lineRule="auto"/>
        <w:rPr>
          <w:sz w:val="20"/>
          <w:szCs w:val="20"/>
          <w:color w:val="auto"/>
        </w:rPr>
      </w:pPr>
      <w:r>
        <w:rPr>
          <w:rFonts w:ascii="Arial" w:cs="Arial" w:eastAsia="Arial" w:hAnsi="Arial"/>
          <w:sz w:val="11"/>
          <w:szCs w:val="11"/>
          <w:color w:val="auto"/>
        </w:rPr>
        <w:t>“We are very pleased to welcome Renae and Carlos, who together bring more than 50 years of highly relevant and valuable experience to the Board,” said Mr. Melarkey. “Our Board regularly reviews our composition, including the overall mix of director skills, experience and backgrounds, to ensure we are well-positioned to oversee the evolving Company and create long-term value for stockholders. Today’s announcement is the culmination of our most recent process, through which we identified these candidates in 2020, and which progressed throughout 2021, leading to their appointment. We’ve gotten to know Renae and Carlos very well over the last six months and we believe the addition of these two proven leaders, with their wealth of knowledge and relevant experience, will broaden our collective expertise as we oversee Southwest Gas Holding’s strategy.”</w:t>
      </w:r>
    </w:p>
    <w:p>
      <w:pPr>
        <w:spacing w:after="0" w:line="113" w:lineRule="exact"/>
        <w:rPr>
          <w:sz w:val="20"/>
          <w:szCs w:val="20"/>
          <w:color w:val="auto"/>
        </w:rPr>
      </w:pPr>
    </w:p>
    <w:p>
      <w:pPr>
        <w:ind w:left="640" w:right="739"/>
        <w:spacing w:after="0" w:line="249" w:lineRule="auto"/>
        <w:rPr>
          <w:sz w:val="20"/>
          <w:szCs w:val="20"/>
          <w:color w:val="auto"/>
        </w:rPr>
      </w:pPr>
      <w:r>
        <w:rPr>
          <w:rFonts w:ascii="Arial" w:cs="Arial" w:eastAsia="Arial" w:hAnsi="Arial"/>
          <w:sz w:val="13"/>
          <w:szCs w:val="13"/>
          <w:color w:val="auto"/>
        </w:rPr>
        <w:t>Mr. Melarkey continued, “At Southwest Gas, we have world-class assets and multiple avenues to continue to create stockholder value. I’m proud of all that the team has accomplished under John Hester’s leadership as CEO and I know that I will be leaving the Board — a talented, diverse group of directors — in very capable hands with Robert as the new Chair. As I look to my retirement in 2022, I am confident that Southwest is positioned for continued success and I look forward to following its progress and growth.”</w:t>
      </w:r>
    </w:p>
    <w:p>
      <w:pPr>
        <w:sectPr>
          <w:pgSz w:w="11900" w:h="16838" w:orient="portrait"/>
          <w:cols w:equalWidth="0" w:num="1">
            <w:col w:w="9019"/>
          </w:cols>
          <w:pgMar w:left="1440" w:top="127" w:right="1440" w:bottom="1440" w:gutter="0" w:footer="0" w:header="0"/>
        </w:sectPr>
      </w:pPr>
    </w:p>
    <w:bookmarkStart w:id="7" w:name="page8"/>
    <w:bookmarkEnd w:id="7"/>
    <w:p>
      <w:pPr>
        <w:ind w:left="640" w:right="719"/>
        <w:spacing w:after="0" w:line="27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Mr. Boughner said, “We believe Renae and Carlos’ backgrounds in energy and growth initiatives, respectively, are an excellent fit for our Board. I look forward to serving as Chairperson and working alongside them and the rest of the Board going forward. On behalf of the entire Board, I would also like to thank Michael and Stephen for their valuable contributions to Southwest Gas Holdings. Their insightful leadership and dedication to the Company have positioned Southwest to continue advancing our growth and delivering on our objectives.”</w:t>
      </w:r>
    </w:p>
    <w:p>
      <w:pPr>
        <w:spacing w:after="0" w:line="195"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About E. Renae Conley</w:t>
      </w:r>
    </w:p>
    <w:p>
      <w:pPr>
        <w:spacing w:after="0" w:line="82" w:lineRule="exact"/>
        <w:rPr>
          <w:sz w:val="20"/>
          <w:szCs w:val="20"/>
          <w:color w:val="auto"/>
        </w:rPr>
      </w:pPr>
    </w:p>
    <w:p>
      <w:pPr>
        <w:ind w:left="640" w:right="679"/>
        <w:spacing w:after="0" w:line="273" w:lineRule="auto"/>
        <w:rPr>
          <w:sz w:val="20"/>
          <w:szCs w:val="20"/>
          <w:color w:val="auto"/>
        </w:rPr>
      </w:pPr>
      <w:r>
        <w:rPr>
          <w:rFonts w:ascii="Arial" w:cs="Arial" w:eastAsia="Arial" w:hAnsi="Arial"/>
          <w:sz w:val="12"/>
          <w:szCs w:val="12"/>
          <w:color w:val="auto"/>
        </w:rPr>
        <w:t>Since 2014, Ms. Conley has served as CEO of ER Solutions, LLC, an energy consulting firm. Ms. Conley previously served from 2010-2013 as EVP, Human Resources and Administration, and Chief Diversity Officer of Entergy Corporation. She also previously served as Chairman, President and CEO of Entergy Louisiana and Gulf States Louisiana where she played a key role leading utility restoration effort in Louisiana in the wake of several major hurricanes, including Katrina. Prior to joining Entergy, Ms. Conley worked for eighteen years for PSI Energy/Cinergy Corporation, where she held a variety of positions including President of Cincinnati Gas and Electric.</w:t>
      </w:r>
    </w:p>
    <w:p>
      <w:pPr>
        <w:spacing w:after="0" w:line="125" w:lineRule="exact"/>
        <w:rPr>
          <w:sz w:val="20"/>
          <w:szCs w:val="20"/>
          <w:color w:val="auto"/>
        </w:rPr>
      </w:pPr>
    </w:p>
    <w:p>
      <w:pPr>
        <w:jc w:val="both"/>
        <w:ind w:left="640" w:right="759"/>
        <w:spacing w:after="0" w:line="309" w:lineRule="auto"/>
        <w:rPr>
          <w:sz w:val="20"/>
          <w:szCs w:val="20"/>
          <w:color w:val="auto"/>
        </w:rPr>
      </w:pPr>
      <w:r>
        <w:rPr>
          <w:rFonts w:ascii="Arial" w:cs="Arial" w:eastAsia="Arial" w:hAnsi="Arial"/>
          <w:sz w:val="11"/>
          <w:szCs w:val="11"/>
          <w:color w:val="auto"/>
        </w:rPr>
        <w:t>Ms. Conley currently serves as a director of US Ecology, Inc., where she is chairperson of the compensation committee and a member of the corporate responsibility and risk committee, PNM Resources, Inc., where she is chairperson of the compensation and human resources committee and a member of the audit &amp; ethics committee, and The Indiana Toll Road Concession LLC, where she is chair of the audit committee. Ms. Conley also serves on the Ball State University Board of Trustees and is chair of the board, and serves on the Ball State University Foundation.</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About Carlos A. Ruisanchez</w:t>
      </w:r>
    </w:p>
    <w:p>
      <w:pPr>
        <w:spacing w:after="0" w:line="82" w:lineRule="exact"/>
        <w:rPr>
          <w:sz w:val="20"/>
          <w:szCs w:val="20"/>
          <w:color w:val="auto"/>
        </w:rPr>
      </w:pPr>
    </w:p>
    <w:p>
      <w:pPr>
        <w:ind w:left="640" w:right="719"/>
        <w:spacing w:after="0" w:line="270" w:lineRule="auto"/>
        <w:rPr>
          <w:sz w:val="20"/>
          <w:szCs w:val="20"/>
          <w:color w:val="auto"/>
        </w:rPr>
      </w:pPr>
      <w:r>
        <w:rPr>
          <w:rFonts w:ascii="Arial" w:cs="Arial" w:eastAsia="Arial" w:hAnsi="Arial"/>
          <w:sz w:val="12"/>
          <w:szCs w:val="12"/>
          <w:color w:val="auto"/>
        </w:rPr>
        <w:t>Carlos A. Ruisanchez is the co-founder of Sorelle Capital, Sorelle Entertainment and Sorelle Hospitality, a series of firms focused on investing in and helping grow companies with entrepreneurs in hospitality sectors and related real estate ventures. Prior to Sorelle, he served as President &amp; Chief Financial Officer of Pinnacle Entertainment, Inc., a leading regional gaming entertainment company, until its sale in October 2018. Carlos joined Pinnacle Entertainment, Inc in August 2008 as Executive Vice President, Strategic Planning and Development before becoming Chief Financial Officer in 2011 and President &amp; Chief Financial Officer in 2013. Prior to joining Pinnacle, Carlos worked at the investment banking firm Bear, Stearns &amp; Co. from 1997 through 2008. He served as Senior Managing Director responsible for corporate clients in the gaming, lodging and leisure industries, as well as financial sponsor banking relationships.</w:t>
      </w:r>
    </w:p>
    <w:p>
      <w:pPr>
        <w:spacing w:after="0" w:line="126" w:lineRule="exact"/>
        <w:rPr>
          <w:sz w:val="20"/>
          <w:szCs w:val="20"/>
          <w:color w:val="auto"/>
        </w:rPr>
      </w:pPr>
    </w:p>
    <w:p>
      <w:pPr>
        <w:ind w:left="640" w:right="699"/>
        <w:spacing w:after="0" w:line="261" w:lineRule="auto"/>
        <w:rPr>
          <w:sz w:val="20"/>
          <w:szCs w:val="20"/>
          <w:color w:val="auto"/>
        </w:rPr>
      </w:pPr>
      <w:r>
        <w:rPr>
          <w:rFonts w:ascii="Arial" w:cs="Arial" w:eastAsia="Arial" w:hAnsi="Arial"/>
          <w:sz w:val="13"/>
          <w:szCs w:val="13"/>
          <w:color w:val="auto"/>
        </w:rPr>
        <w:t>Carlos is a member of the Board of Directors of Cedar Fair L.P., where he is a member of the compensation and audit committees. He previously served on the Board of Pinnacle Entertainment, Inc.</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About Robert L. Boughner</w:t>
      </w:r>
    </w:p>
    <w:p>
      <w:pPr>
        <w:spacing w:after="0" w:line="82" w:lineRule="exact"/>
        <w:rPr>
          <w:sz w:val="20"/>
          <w:szCs w:val="20"/>
          <w:color w:val="auto"/>
        </w:rPr>
      </w:pPr>
    </w:p>
    <w:p>
      <w:pPr>
        <w:ind w:left="640" w:right="699"/>
        <w:spacing w:after="0" w:line="246" w:lineRule="auto"/>
        <w:rPr>
          <w:sz w:val="20"/>
          <w:szCs w:val="20"/>
          <w:color w:val="auto"/>
        </w:rPr>
      </w:pPr>
      <w:r>
        <w:rPr>
          <w:rFonts w:ascii="Arial" w:cs="Arial" w:eastAsia="Arial" w:hAnsi="Arial"/>
          <w:sz w:val="13"/>
          <w:szCs w:val="13"/>
          <w:color w:val="auto"/>
        </w:rPr>
        <w:t>Robert L. Boughner is a Senior Partner with Global Market Advisors, an international hospitality and gaming advisory firm. He has more than 30 years of executive management and board-level experience in highly regulated industries, including casino gaming and financial services. He retired from Boyd Gaming Corporation in August 2016, most recently serving as Executive Vice President and Chief Business Development Officer. During various phases of his 40-year career with Boyd, Mr. Boughner’s roles included primary accountability for new market expansion, top line and profit margin growth and optimization of significant administrative and business processes. He continues as a member of Boyd’s board of directors where he has served since 1996.</w:t>
      </w:r>
    </w:p>
    <w:p>
      <w:pPr>
        <w:sectPr>
          <w:pgSz w:w="11900" w:h="16838" w:orient="portrait"/>
          <w:cols w:equalWidth="0" w:num="1">
            <w:col w:w="9019"/>
          </w:cols>
          <w:pgMar w:left="1440" w:top="235" w:right="1440" w:bottom="1440" w:gutter="0" w:footer="0" w:header="0"/>
        </w:sectPr>
      </w:pPr>
    </w:p>
    <w:bookmarkStart w:id="8" w:name="page9"/>
    <w:bookmarkEnd w:id="8"/>
    <w:p>
      <w:pPr>
        <w:ind w:left="640" w:right="759"/>
        <w:spacing w:after="0" w:line="26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Mr. Boughner served as an independent director on boards of subsidiaries of Western Alliance Bancorporation, including Bank of Nevada and Western Alliance Bank. Mr. Boughner is involved in various educational, philanthropic, and civic organizations.</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About Southwest Gas Holdings, Inc.</w:t>
      </w:r>
    </w:p>
    <w:p>
      <w:pPr>
        <w:spacing w:after="0" w:line="82" w:lineRule="exact"/>
        <w:rPr>
          <w:sz w:val="20"/>
          <w:szCs w:val="20"/>
          <w:color w:val="auto"/>
        </w:rPr>
      </w:pPr>
    </w:p>
    <w:p>
      <w:pPr>
        <w:ind w:left="640" w:right="679"/>
        <w:spacing w:after="0" w:line="309" w:lineRule="auto"/>
        <w:rPr>
          <w:sz w:val="20"/>
          <w:szCs w:val="20"/>
          <w:color w:val="auto"/>
        </w:rPr>
      </w:pPr>
      <w:r>
        <w:rPr>
          <w:rFonts w:ascii="Arial" w:cs="Arial" w:eastAsia="Arial" w:hAnsi="Arial"/>
          <w:sz w:val="11"/>
          <w:szCs w:val="11"/>
          <w:color w:val="auto"/>
        </w:rPr>
        <w:t>Southwest Gas Holdings, Inc., through its subsidiaries, engages in the business of purchasing, distributing and transporting natural gas, and providing comprehensive utility infrastructure services across North America. Southwest Gas Corporation, a wholly owned subsidiary, safely and reliably delivers natural gas to over two million customers in Arizona, California and Nevada. Centuri Group, Inc., a wholly owned subsidiary, is a comprehensive utility infrastructure services enterprise dedicated to delivering a diverse array of solutions to North America’s gas and electric providers.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How to Find Further Information</w:t>
      </w:r>
    </w:p>
    <w:p>
      <w:pPr>
        <w:spacing w:after="0" w:line="82" w:lineRule="exact"/>
        <w:rPr>
          <w:sz w:val="20"/>
          <w:szCs w:val="20"/>
          <w:color w:val="auto"/>
        </w:rPr>
      </w:pPr>
    </w:p>
    <w:p>
      <w:pPr>
        <w:ind w:left="640" w:right="679"/>
        <w:spacing w:after="0" w:line="267" w:lineRule="auto"/>
        <w:rPr>
          <w:sz w:val="20"/>
          <w:szCs w:val="20"/>
          <w:color w:val="auto"/>
        </w:rPr>
      </w:pPr>
      <w:r>
        <w:rPr>
          <w:rFonts w:ascii="Arial" w:cs="Arial" w:eastAsia="Arial" w:hAnsi="Arial"/>
          <w:sz w:val="12"/>
          <w:szCs w:val="12"/>
          <w:color w:val="auto"/>
        </w:rPr>
        <w:t xml:space="preserve">This communication does not constitute a solicitation of any vote or approval in connection with the 2022 annual meeting of stockholders of Southwest Gas Holdings, Inc. (the “Company”) (the “Annual Meeting”). In connection with the Annual Meeting, the Company will file a proxy statement with the U.S. Securities and Exchange Commission (“SEC”), which the Company will furnish, with any other relevant information or documents, to its stockholders in connection with the Annual Meeting. BEFORE MAKING ANY VOTING DECISION, WE URGE STOCKHOLDERS TO READ THE PROXY STATEMENT (INCLUDING ALL AMENDMENTS AND SUPPLEMENTS THERETO) AND OTHER DOCUMENTS WHEN SUCH INFORMATION IS FILED WITH THE SEC CAREFULLY AND IN THEIR ENTIRETY WHEN THEY BECOME AVAILABLE, BECAUSE THEY WILL CONTAIN IMPORTANT INFORMATION ABOUT THE COMPANY AND THE ANNUAL MEETING. The proposals for the Annual Meeting will be made solely through the proxy statement. In addition, a copy of the proxy statement (when it becomes available) may be obtained free of charge from www.swgasholdings.com/proxymaterials. Security holders also will be able to obtain, free of charge, copies of the proxy statement and any other documents filed by Company with the SEC in connection with the Annual Meeting at the SEC’s website at http://www.sec.gov, and at the companies’ website at </w:t>
      </w:r>
      <w:r>
        <w:rPr>
          <w:rFonts w:ascii="Arial" w:cs="Arial" w:eastAsia="Arial" w:hAnsi="Arial"/>
          <w:sz w:val="12"/>
          <w:szCs w:val="12"/>
          <w:u w:val="single" w:color="auto"/>
          <w:color w:val="auto"/>
        </w:rPr>
        <w:t>www.swgasholdings.com</w:t>
      </w:r>
      <w:r>
        <w:rPr>
          <w:rFonts w:ascii="Arial" w:cs="Arial" w:eastAsia="Arial" w:hAnsi="Arial"/>
          <w:sz w:val="12"/>
          <w:szCs w:val="12"/>
          <w:color w:val="auto"/>
        </w:rPr>
        <w:t>.</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Important Information for Investors and Stockholders</w:t>
      </w:r>
    </w:p>
    <w:p>
      <w:pPr>
        <w:spacing w:after="0" w:line="82" w:lineRule="exact"/>
        <w:rPr>
          <w:sz w:val="20"/>
          <w:szCs w:val="20"/>
          <w:color w:val="auto"/>
        </w:rPr>
      </w:pPr>
    </w:p>
    <w:p>
      <w:pPr>
        <w:ind w:left="640" w:right="739"/>
        <w:spacing w:after="0" w:line="298" w:lineRule="auto"/>
        <w:rPr>
          <w:sz w:val="20"/>
          <w:szCs w:val="20"/>
          <w:color w:val="auto"/>
        </w:rPr>
      </w:pPr>
      <w:r>
        <w:rPr>
          <w:rFonts w:ascii="Arial" w:cs="Arial" w:eastAsia="Arial" w:hAnsi="Arial"/>
          <w:sz w:val="11"/>
          <w:szCs w:val="11"/>
          <w:color w:val="auto"/>
        </w:rPr>
        <w:t xml:space="preserve">This communication does not constitute an offer to buy or solicitation of an offer to sell any securities. In response to the tender offer for the shares of the Company commenced by IEP Utility Holdings LLC and Icahn Enterprises Holdings L.P., the Company has filed a solicitation/recommendation statement on Schedule 14D-9 with the SEC. INVESTORS AND STOCKHOLDERS OF SOUTHWEST GAS HOLDINGS ARE URGED TO READ THE SOLICITATION/RECOMMENDATION STATEMENT AND OTHER DOCUMENTS FILED WITH THE SEC CAREFULLY IN THEIR ENTIRETY BECAUSE THEY WILL CONTAIN IMPORTANT INFORMATION. Investors and stockholders may obtain a free copy of these documents free of charge at the SEC’s website at </w:t>
      </w:r>
      <w:r>
        <w:rPr>
          <w:rFonts w:ascii="Arial" w:cs="Arial" w:eastAsia="Arial" w:hAnsi="Arial"/>
          <w:sz w:val="11"/>
          <w:szCs w:val="11"/>
          <w:u w:val="single" w:color="auto"/>
          <w:color w:val="auto"/>
        </w:rPr>
        <w:t>www.sec.gov</w:t>
      </w:r>
      <w:r>
        <w:rPr>
          <w:rFonts w:ascii="Arial" w:cs="Arial" w:eastAsia="Arial" w:hAnsi="Arial"/>
          <w:sz w:val="11"/>
          <w:szCs w:val="11"/>
          <w:color w:val="auto"/>
        </w:rPr>
        <w:t xml:space="preserve">, and at the Company’s website at </w:t>
      </w:r>
      <w:r>
        <w:rPr>
          <w:rFonts w:ascii="Arial" w:cs="Arial" w:eastAsia="Arial" w:hAnsi="Arial"/>
          <w:sz w:val="11"/>
          <w:szCs w:val="11"/>
          <w:u w:val="single" w:color="auto"/>
          <w:color w:val="auto"/>
        </w:rPr>
        <w:t>www.swgasholdings.com</w:t>
      </w:r>
      <w:r>
        <w:rPr>
          <w:rFonts w:ascii="Arial" w:cs="Arial" w:eastAsia="Arial" w:hAnsi="Arial"/>
          <w:sz w:val="11"/>
          <w:szCs w:val="11"/>
          <w:color w:val="auto"/>
        </w:rPr>
        <w:t>. In addition, copies of these materials may be requested from the Company’s information agent, Innisfree M&amp;A Incorporated, toll-free at (877) 825-8621.</w:t>
      </w:r>
    </w:p>
    <w:p>
      <w:pPr>
        <w:sectPr>
          <w:pgSz w:w="11900" w:h="16838" w:orient="portrait"/>
          <w:cols w:equalWidth="0" w:num="1">
            <w:col w:w="9019"/>
          </w:cols>
          <w:pgMar w:left="1440" w:top="235" w:right="1440" w:bottom="1440" w:gutter="0" w:footer="0" w:header="0"/>
        </w:sectPr>
      </w:pPr>
    </w:p>
    <w:bookmarkStart w:id="9" w:name="page10"/>
    <w:bookmarkEnd w:id="9"/>
    <w:p>
      <w:pPr>
        <w:ind w:left="6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Forward-Looking Statements</w:t>
      </w:r>
    </w:p>
    <w:p>
      <w:pPr>
        <w:spacing w:after="0" w:line="82" w:lineRule="exact"/>
        <w:rPr>
          <w:sz w:val="20"/>
          <w:szCs w:val="20"/>
          <w:color w:val="auto"/>
        </w:rPr>
      </w:pPr>
    </w:p>
    <w:p>
      <w:pPr>
        <w:ind w:left="640" w:right="679"/>
        <w:spacing w:after="0" w:line="290" w:lineRule="auto"/>
        <w:rPr>
          <w:sz w:val="20"/>
          <w:szCs w:val="20"/>
          <w:color w:val="auto"/>
        </w:rPr>
      </w:pPr>
      <w:r>
        <w:rPr>
          <w:rFonts w:ascii="Arial" w:cs="Arial" w:eastAsia="Arial" w:hAnsi="Arial"/>
          <w:sz w:val="11"/>
          <w:szCs w:val="11"/>
          <w:color w:val="auto"/>
        </w:rPr>
        <w:t>This document contains forward-looking statements within the meaning of Section 27A of the Securities Act of 1933, as amended, and Section 21E of the Securities Exchange Act of 1934, as amended. These statements are based on current expectations, estimates and projections about, among others, the industry, markets in which Southwest Gas Holdings, Inc. (the “Company,” “Southwest Gas Holdings,” “SWX,” or “we”) operates, and the matters described in this press release. While the Company’s management believes the assumptions underlying its forward-looking statements and information are reasonable, such information is necessarily subject to uncertainties and may involve certain risks, many of which are difficult to predict and are beyond the control of the Company’s management. A number of important factors affecting the business and financial results of the Company could cause actual results to differ materially from those stated in the forward-looking statements. These factors include, but are not limited to, the timing and amount of rate relief, changes in rate design, customer growth rates, the effects of regulation/deregulation, tax reform and related regulatory decisions, the impacts of construction activity at Centuri, future earnings trends, seasonal patterns, and the impacts of stock market volatility. In addition, the Company can provide no assurance that its discussions about future operating margin, operating income, pension costs, COLI results, and capital expenditures of the natural gas segment will occur. Likewise, the Company can provide no assurance that discussions regarding utility infrastructure services segment revenues, operating income as a percentage of revenues, interest expense, and noncontrolling interest amounts will transpire, nor assurance regarding acquisitions or their impacts, including management’s plans related thereto, such as that currently planned in regard to Riggs Distler &amp; Company, Inc. and the pending acquisition of Dominion Energy Questar Pipeline, LLC and related entities (the “Questar Pipeline Group”). Additional risks include the occurrence of any event, change or other circumstances that could give rise to the termination of the Sale and Purchase Agreement by and between Dominion Energy Questar Corporation and the Company (the “Questar Purchase Agreement”), the outcome of any legal proceedings that may be instituted against the Company and others following announcement of the Questar Purchase Agreement, risks that the proposed transaction disrupts current plans and operations, the risks related to the ability of the Company to integrate the Questar Pipeline Group, the amount of the costs, fees, expenses and charges related to the transaction and the actual terms of certain financings that will be obtained for the transaction, potential negative impacts to the Company’s credit ratings as a result of the transaction, the disruption to the Company’s stock price and the costs, fees, expenses and charges related to, and the distraction of management’s attention in connection with, any proxy contest or other stockholder related or similar matters, as well as other risks that are set forth under “Risk Factors” in the Company’s Annual Report on Form 10-K for the year ended December 31, 2020, the Company’s Quarterly Reports on Form 10-Q for the quarter ended June 30, 2021 and September 30, 2021 and in future filings with the SEC. All forward-looking statements speak only as of the date of this press release. All subsequent written and oral forward-looking statements attributable to the Company or any person acting on its behalf are qualified by the cautionary statements in this section. The Company undertakes no obligation to update or publicly release any revisions to forward-looking statements to reflect events, circumstances or changes in expectations after the date of this press release.</w:t>
      </w:r>
    </w:p>
    <w:p>
      <w:pPr>
        <w:spacing w:after="0" w:line="344"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Participants in the Solicitation</w:t>
      </w:r>
    </w:p>
    <w:p>
      <w:pPr>
        <w:spacing w:after="0" w:line="82" w:lineRule="exact"/>
        <w:rPr>
          <w:sz w:val="20"/>
          <w:szCs w:val="20"/>
          <w:color w:val="auto"/>
        </w:rPr>
      </w:pPr>
    </w:p>
    <w:p>
      <w:pPr>
        <w:ind w:left="640" w:right="739"/>
        <w:spacing w:after="0" w:line="273" w:lineRule="auto"/>
        <w:rPr>
          <w:sz w:val="20"/>
          <w:szCs w:val="20"/>
          <w:color w:val="auto"/>
        </w:rPr>
      </w:pPr>
      <w:r>
        <w:rPr>
          <w:rFonts w:ascii="Arial" w:cs="Arial" w:eastAsia="Arial" w:hAnsi="Arial"/>
          <w:sz w:val="12"/>
          <w:szCs w:val="12"/>
          <w:color w:val="auto"/>
        </w:rPr>
        <w:t>The directors and officers of the Company may be deemed to be participants in the solicitation of proxies in connection with the Annual Meeting. Information regarding the Company’s directors and officers and their respective interests in the Company by security holdings or otherwise is available in its most recent Annual Report on Form 10-K filed with the SEC and its most recent definitive Proxy Statement on Schedule 14A filed with the SEC. Additional information regarding the interests of such potential participants is or will be included in the proxy statement for the Annual Meeting and other relevant materials to be filed with the SEC, when they become available.</w:t>
      </w:r>
    </w:p>
    <w:p>
      <w:pPr>
        <w:sectPr>
          <w:pgSz w:w="11900" w:h="16838" w:orient="portrait"/>
          <w:cols w:equalWidth="0" w:num="1">
            <w:col w:w="9019"/>
          </w:cols>
          <w:pgMar w:left="1440" w:top="231" w:right="1440" w:bottom="1440" w:gutter="0" w:footer="0" w:header="0"/>
        </w:sectPr>
      </w:pPr>
    </w:p>
    <w:bookmarkStart w:id="10" w:name="page11"/>
    <w:bookmarkEnd w:id="10"/>
    <w:p>
      <w:pPr>
        <w:ind w:left="6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Contacts</w:t>
      </w:r>
    </w:p>
    <w:p>
      <w:pPr>
        <w:spacing w:after="0" w:line="82" w:lineRule="exact"/>
        <w:rPr>
          <w:sz w:val="20"/>
          <w:szCs w:val="20"/>
          <w:color w:val="auto"/>
        </w:rPr>
      </w:pPr>
    </w:p>
    <w:p>
      <w:pPr>
        <w:jc w:val="both"/>
        <w:ind w:left="640" w:right="3779"/>
        <w:spacing w:after="0" w:line="320" w:lineRule="auto"/>
        <w:rPr>
          <w:sz w:val="20"/>
          <w:szCs w:val="20"/>
          <w:color w:val="auto"/>
        </w:rPr>
      </w:pPr>
      <w:r>
        <w:rPr>
          <w:rFonts w:ascii="Arial" w:cs="Arial" w:eastAsia="Arial" w:hAnsi="Arial"/>
          <w:sz w:val="11"/>
          <w:szCs w:val="11"/>
          <w:color w:val="auto"/>
        </w:rPr>
        <w:t xml:space="preserve">For stockholders information, contact: Ken Kenny (702) 876-7237 </w:t>
      </w:r>
      <w:r>
        <w:rPr>
          <w:rFonts w:ascii="Arial" w:cs="Arial" w:eastAsia="Arial" w:hAnsi="Arial"/>
          <w:sz w:val="11"/>
          <w:szCs w:val="11"/>
          <w:u w:val="single" w:color="auto"/>
          <w:color w:val="auto"/>
        </w:rPr>
        <w:t>ken.kenny@swgas.com</w:t>
      </w:r>
      <w:r>
        <w:rPr>
          <w:rFonts w:ascii="Arial" w:cs="Arial" w:eastAsia="Arial" w:hAnsi="Arial"/>
          <w:sz w:val="11"/>
          <w:szCs w:val="11"/>
          <w:color w:val="auto"/>
        </w:rPr>
        <w:t xml:space="preserve"> For media information, contact: Sean Corbett (702) 876-7219 </w:t>
      </w:r>
      <w:r>
        <w:rPr>
          <w:rFonts w:ascii="Arial" w:cs="Arial" w:eastAsia="Arial" w:hAnsi="Arial"/>
          <w:sz w:val="11"/>
          <w:szCs w:val="11"/>
          <w:u w:val="single" w:color="auto"/>
          <w:color w:val="auto"/>
        </w:rPr>
        <w:t>sean.corbett@swgas.com</w:t>
      </w:r>
      <w:r>
        <w:rPr>
          <w:rFonts w:ascii="Arial" w:cs="Arial" w:eastAsia="Arial" w:hAnsi="Arial"/>
          <w:sz w:val="11"/>
          <w:szCs w:val="11"/>
          <w:color w:val="auto"/>
        </w:rPr>
        <w:t>; or Joele Frank, Wilkinson Brimmer Katcher, Dan Katcher / Tim Lynch, (212) 355-4449</w:t>
      </w:r>
    </w:p>
    <w:p>
      <w:pPr>
        <w:sectPr>
          <w:pgSz w:w="11900" w:h="16838" w:orient="portrait"/>
          <w:cols w:equalWidth="0" w:num="1">
            <w:col w:w="9019"/>
          </w:cols>
          <w:pgMar w:left="1440" w:top="231" w:right="1440" w:bottom="1440" w:gutter="0" w:footer="0" w:header="0"/>
        </w:sectPr>
      </w:pPr>
    </w:p>
    <w:bookmarkStart w:id="11" w:name="page12"/>
    <w:bookmarkEnd w:id="11"/>
    <w:p>
      <w:pPr>
        <w:jc w:val="right"/>
        <w:ind w:right="639"/>
        <w:spacing w:after="0"/>
        <w:rPr>
          <w:sz w:val="20"/>
          <w:szCs w:val="20"/>
          <w:color w:val="auto"/>
        </w:rPr>
      </w:pPr>
      <w:r>
        <w:rPr>
          <w:rFonts w:ascii="Arial" w:cs="Arial" w:eastAsia="Arial" w:hAnsi="Arial"/>
          <w:sz w:val="13"/>
          <w:szCs w:val="13"/>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118110</wp:posOffset>
            </wp:positionV>
            <wp:extent cx="896620" cy="4813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96620" cy="481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FOR IMMEDIATE RELEASE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Southwest Gas Holdings Board of Directors Unanimously Rejects Carl Icahn’s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Unsolicited Tender Offer</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Determines Offer Undervalues the Company and is Not in the Best Interests of Stockholders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Regulated and Unregulated Businesses Positioned to Deliver Value Well in Excess of</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Inadequate Offer</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Files Schedule 14D-9 with the SEC Recommending Stockholders to Reject Inadequate, Coercive, Highly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Conditional and Illusory Offer</w:t>
      </w:r>
    </w:p>
    <w:p>
      <w:pPr>
        <w:spacing w:after="0" w:line="141" w:lineRule="exact"/>
        <w:rPr>
          <w:sz w:val="20"/>
          <w:szCs w:val="20"/>
          <w:color w:val="auto"/>
        </w:rPr>
      </w:pPr>
    </w:p>
    <w:p>
      <w:pPr>
        <w:ind w:left="640" w:right="639"/>
        <w:spacing w:after="0" w:line="275" w:lineRule="auto"/>
        <w:rPr>
          <w:sz w:val="20"/>
          <w:szCs w:val="20"/>
          <w:color w:val="auto"/>
        </w:rPr>
      </w:pPr>
      <w:r>
        <w:rPr>
          <w:rFonts w:ascii="Arial" w:cs="Arial" w:eastAsia="Arial" w:hAnsi="Arial"/>
          <w:sz w:val="12"/>
          <w:szCs w:val="12"/>
          <w:b w:val="1"/>
          <w:bCs w:val="1"/>
          <w:color w:val="auto"/>
        </w:rPr>
        <w:t xml:space="preserve">LAS VEGAS – November 9, 2021 – </w:t>
      </w:r>
      <w:r>
        <w:rPr>
          <w:rFonts w:ascii="Arial" w:cs="Arial" w:eastAsia="Arial" w:hAnsi="Arial"/>
          <w:sz w:val="12"/>
          <w:szCs w:val="12"/>
          <w:color w:val="auto"/>
        </w:rPr>
        <w:t>Southwest Gas Holdings, Inc. (NYSE: SWX) (the “Company”) today announced that its Board of Directors, after</w:t>
      </w:r>
      <w:r>
        <w:rPr>
          <w:rFonts w:ascii="Arial" w:cs="Arial" w:eastAsia="Arial" w:hAnsi="Arial"/>
          <w:sz w:val="12"/>
          <w:szCs w:val="12"/>
          <w:b w:val="1"/>
          <w:bCs w:val="1"/>
          <w:color w:val="auto"/>
        </w:rPr>
        <w:t xml:space="preserve"> </w:t>
      </w:r>
      <w:r>
        <w:rPr>
          <w:rFonts w:ascii="Arial" w:cs="Arial" w:eastAsia="Arial" w:hAnsi="Arial"/>
          <w:sz w:val="12"/>
          <w:szCs w:val="12"/>
          <w:color w:val="auto"/>
        </w:rPr>
        <w:t>a thorough review with the assistance of its external financial and legal advisors, has unanimously determined that the unsolicited, highly conditional and illusory tender offer from an affiliate of Carl Icahn (“Icahn”) to acquire any and all outstanding common shares of the Company for $75.00 per share in cash (the “Offer”) is inadequate, undervalues the Company, is structurally coercive and is not in the best interests of all of its stockholders. Accordingly, the Board recommends that stockholders not tender any of their shares into the Offer.</w:t>
      </w:r>
    </w:p>
    <w:p>
      <w:pPr>
        <w:spacing w:after="0" w:line="123" w:lineRule="exact"/>
        <w:rPr>
          <w:sz w:val="20"/>
          <w:szCs w:val="20"/>
          <w:color w:val="auto"/>
        </w:rPr>
      </w:pPr>
    </w:p>
    <w:p>
      <w:pPr>
        <w:ind w:left="640" w:right="899"/>
        <w:spacing w:after="0" w:line="261" w:lineRule="auto"/>
        <w:rPr>
          <w:sz w:val="20"/>
          <w:szCs w:val="20"/>
          <w:color w:val="auto"/>
        </w:rPr>
      </w:pPr>
      <w:r>
        <w:rPr>
          <w:rFonts w:ascii="Arial" w:cs="Arial" w:eastAsia="Arial" w:hAnsi="Arial"/>
          <w:sz w:val="13"/>
          <w:szCs w:val="13"/>
          <w:color w:val="auto"/>
        </w:rPr>
        <w:t>The basis for the Board’s decision is set forth in the Solicitation/Recommendation Statement on Schedule 14D-9 (the “Schedule 14D-9”) being filed today with the U.S. Securities and Exchange Commission, which will also be mailed to stockholders.</w:t>
      </w:r>
    </w:p>
    <w:p>
      <w:pPr>
        <w:spacing w:after="0" w:line="130" w:lineRule="exact"/>
        <w:rPr>
          <w:sz w:val="20"/>
          <w:szCs w:val="20"/>
          <w:color w:val="auto"/>
        </w:rPr>
      </w:pPr>
    </w:p>
    <w:p>
      <w:pPr>
        <w:ind w:left="640" w:right="859"/>
        <w:spacing w:after="0" w:line="261" w:lineRule="auto"/>
        <w:rPr>
          <w:sz w:val="20"/>
          <w:szCs w:val="20"/>
          <w:color w:val="auto"/>
        </w:rPr>
      </w:pPr>
      <w:r>
        <w:rPr>
          <w:rFonts w:ascii="Arial" w:cs="Arial" w:eastAsia="Arial" w:hAnsi="Arial"/>
          <w:sz w:val="13"/>
          <w:szCs w:val="13"/>
          <w:color w:val="auto"/>
        </w:rPr>
        <w:t>The Company included the following letter to stockholders in its Schedule 14D-9, outlining the Board’s reasons for recommending that stockholders reject the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100330</wp:posOffset>
            </wp:positionV>
            <wp:extent cx="896620" cy="4813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96620" cy="481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40"/>
        <w:spacing w:after="0"/>
        <w:rPr>
          <w:sz w:val="20"/>
          <w:szCs w:val="20"/>
          <w:color w:val="auto"/>
        </w:rPr>
      </w:pPr>
      <w:r>
        <w:rPr>
          <w:rFonts w:ascii="Arial" w:cs="Arial" w:eastAsia="Arial" w:hAnsi="Arial"/>
          <w:sz w:val="13"/>
          <w:szCs w:val="13"/>
          <w:color w:val="auto"/>
        </w:rPr>
        <w:t>November 9, 2021</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Dear Fellow Stockholders:</w:t>
      </w:r>
    </w:p>
    <w:p>
      <w:pPr>
        <w:spacing w:after="0" w:line="154" w:lineRule="exact"/>
        <w:rPr>
          <w:sz w:val="20"/>
          <w:szCs w:val="20"/>
          <w:color w:val="auto"/>
        </w:rPr>
      </w:pPr>
    </w:p>
    <w:p>
      <w:pPr>
        <w:ind w:left="640" w:right="799"/>
        <w:spacing w:after="0" w:line="302" w:lineRule="auto"/>
        <w:rPr>
          <w:sz w:val="20"/>
          <w:szCs w:val="20"/>
          <w:color w:val="auto"/>
        </w:rPr>
      </w:pPr>
      <w:r>
        <w:rPr>
          <w:rFonts w:ascii="Arial" w:cs="Arial" w:eastAsia="Arial" w:hAnsi="Arial"/>
          <w:sz w:val="12"/>
          <w:szCs w:val="12"/>
          <w:color w:val="auto"/>
        </w:rPr>
        <w:t>On October 27, 2021, Carl Icahn submitted an unsolicited, inadequate, structurally coercive, highly conditional and illusory tender offer to acquire the outstanding shares of Southwest Gas Holdings, Inc. (“Southwest Gas” or “the Company”) for $75.00 per share in cash (the “Offer”).</w:t>
      </w:r>
    </w:p>
    <w:p>
      <w:pPr>
        <w:spacing w:after="0" w:line="108" w:lineRule="exact"/>
        <w:rPr>
          <w:sz w:val="20"/>
          <w:szCs w:val="20"/>
          <w:color w:val="auto"/>
        </w:rPr>
      </w:pPr>
    </w:p>
    <w:p>
      <w:pPr>
        <w:ind w:left="640" w:right="979"/>
        <w:spacing w:after="0" w:line="252" w:lineRule="auto"/>
        <w:rPr>
          <w:sz w:val="20"/>
          <w:szCs w:val="20"/>
          <w:color w:val="auto"/>
        </w:rPr>
      </w:pPr>
      <w:r>
        <w:rPr>
          <w:rFonts w:ascii="Arial" w:cs="Arial" w:eastAsia="Arial" w:hAnsi="Arial"/>
          <w:sz w:val="13"/>
          <w:szCs w:val="13"/>
          <w:color w:val="auto"/>
        </w:rPr>
        <w:t xml:space="preserve">Our Board of Directors (the “Board”) thoroughly reviewed Mr. Icahn’s Offer, in consultation with its external financial and legal advisors, and </w:t>
      </w:r>
      <w:r>
        <w:rPr>
          <w:rFonts w:ascii="Arial" w:cs="Arial" w:eastAsia="Arial" w:hAnsi="Arial"/>
          <w:sz w:val="13"/>
          <w:szCs w:val="13"/>
          <w:b w:val="1"/>
          <w:bCs w:val="1"/>
          <w:u w:val="single" w:color="auto"/>
          <w:color w:val="auto"/>
        </w:rPr>
        <w:t>unanimously determined that the Offer is inadequate and undervalues the Company, has no certainty of completion, and is not in the best interests of Southwest Gas stockholders.</w:t>
      </w:r>
    </w:p>
    <w:p>
      <w:pPr>
        <w:sectPr>
          <w:pgSz w:w="11900" w:h="16838" w:orient="portrait"/>
          <w:cols w:equalWidth="0" w:num="1">
            <w:col w:w="9019"/>
          </w:cols>
          <w:pgMar w:left="1440" w:top="127" w:right="1440" w:bottom="1440" w:gutter="0" w:footer="0" w:header="0"/>
        </w:sectPr>
      </w:pPr>
    </w:p>
    <w:bookmarkStart w:id="12" w:name="page13"/>
    <w:bookmarkEnd w:id="12"/>
    <w:p>
      <w:pPr>
        <w:ind w:left="13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YOUR BOARD URGES YOU </w:t>
      </w:r>
      <w:r>
        <w:rPr>
          <w:rFonts w:ascii="Arial" w:cs="Arial" w:eastAsia="Arial" w:hAnsi="Arial"/>
          <w:sz w:val="13"/>
          <w:szCs w:val="13"/>
          <w:b w:val="1"/>
          <w:bCs w:val="1"/>
          <w:i w:val="1"/>
          <w:iCs w:val="1"/>
          <w:color w:val="auto"/>
        </w:rPr>
        <w:t>NOT TO TENDER YOUR SHARES</w:t>
      </w:r>
      <w:r>
        <w:rPr>
          <w:rFonts w:ascii="Arial" w:cs="Arial" w:eastAsia="Arial" w:hAnsi="Arial"/>
          <w:sz w:val="13"/>
          <w:szCs w:val="13"/>
          <w:b w:val="1"/>
          <w:bCs w:val="1"/>
          <w:color w:val="auto"/>
        </w:rPr>
        <w:t xml:space="preserve"> INTO THE INADEQUATE OFFER</w:t>
      </w:r>
    </w:p>
    <w:p>
      <w:pPr>
        <w:spacing w:after="0" w:line="87" w:lineRule="exact"/>
        <w:rPr>
          <w:sz w:val="20"/>
          <w:szCs w:val="20"/>
          <w:color w:val="auto"/>
        </w:rPr>
      </w:pPr>
    </w:p>
    <w:p>
      <w:pPr>
        <w:ind w:left="1320" w:right="939" w:hanging="303"/>
        <w:spacing w:after="0" w:line="267" w:lineRule="auto"/>
        <w:tabs>
          <w:tab w:leader="none" w:pos="1320" w:val="left"/>
        </w:tabs>
        <w:numPr>
          <w:ilvl w:val="0"/>
          <w:numId w:val="4"/>
        </w:numPr>
        <w:rPr>
          <w:rFonts w:ascii="Arial" w:cs="Arial" w:eastAsia="Arial" w:hAnsi="Arial"/>
          <w:sz w:val="13"/>
          <w:szCs w:val="13"/>
          <w:color w:val="auto"/>
        </w:rPr>
      </w:pPr>
      <w:r>
        <w:rPr>
          <w:rFonts w:ascii="Arial" w:cs="Arial" w:eastAsia="Arial" w:hAnsi="Arial"/>
          <w:sz w:val="13"/>
          <w:szCs w:val="13"/>
          <w:b w:val="1"/>
          <w:bCs w:val="1"/>
          <w:u w:val="single" w:color="auto"/>
          <w:color w:val="auto"/>
        </w:rPr>
        <w:t>Under the oversight of our Board and management team, Southwest Gas has built a company that is poised for value creation across each of its businesses and the company as a whole</w:t>
      </w:r>
      <w:r>
        <w:rPr>
          <w:rFonts w:ascii="Arial" w:cs="Arial" w:eastAsia="Arial" w:hAnsi="Arial"/>
          <w:sz w:val="13"/>
          <w:szCs w:val="13"/>
          <w:color w:val="auto"/>
        </w:rPr>
        <w:t>.</w:t>
      </w:r>
    </w:p>
    <w:p>
      <w:pPr>
        <w:spacing w:after="0" w:line="55" w:lineRule="exact"/>
        <w:rPr>
          <w:rFonts w:ascii="Arial" w:cs="Arial" w:eastAsia="Arial" w:hAnsi="Arial"/>
          <w:sz w:val="13"/>
          <w:szCs w:val="13"/>
          <w:color w:val="auto"/>
        </w:rPr>
      </w:pPr>
    </w:p>
    <w:p>
      <w:pPr>
        <w:ind w:left="1320" w:right="679" w:hanging="303"/>
        <w:spacing w:after="0" w:line="255" w:lineRule="auto"/>
        <w:tabs>
          <w:tab w:leader="none" w:pos="1320" w:val="left"/>
        </w:tabs>
        <w:numPr>
          <w:ilvl w:val="0"/>
          <w:numId w:val="4"/>
        </w:numPr>
        <w:rPr>
          <w:rFonts w:ascii="Arial" w:cs="Arial" w:eastAsia="Arial" w:hAnsi="Arial"/>
          <w:sz w:val="13"/>
          <w:szCs w:val="13"/>
          <w:color w:val="auto"/>
        </w:rPr>
      </w:pPr>
      <w:r>
        <w:rPr>
          <w:rFonts w:ascii="Arial" w:cs="Arial" w:eastAsia="Arial" w:hAnsi="Arial"/>
          <w:sz w:val="13"/>
          <w:szCs w:val="13"/>
          <w:b w:val="1"/>
          <w:bCs w:val="1"/>
          <w:u w:val="single" w:color="auto"/>
          <w:color w:val="auto"/>
        </w:rPr>
        <w:t>Southwest Gas is delivering attractive, risk-adjusted total returns</w:t>
      </w:r>
      <w:r>
        <w:rPr>
          <w:rFonts w:ascii="Arial" w:cs="Arial" w:eastAsia="Arial" w:hAnsi="Arial"/>
          <w:sz w:val="13"/>
          <w:szCs w:val="13"/>
          <w:b w:val="1"/>
          <w:bCs w:val="1"/>
          <w:color w:val="auto"/>
        </w:rPr>
        <w:t xml:space="preserve"> </w:t>
      </w:r>
      <w:r>
        <w:rPr>
          <w:rFonts w:ascii="Arial" w:cs="Arial" w:eastAsia="Arial" w:hAnsi="Arial"/>
          <w:sz w:val="13"/>
          <w:szCs w:val="13"/>
          <w:color w:val="auto"/>
        </w:rPr>
        <w:t>comprising stable earnings and a meaningful dividend, both of</w:t>
      </w:r>
      <w:r>
        <w:rPr>
          <w:rFonts w:ascii="Arial" w:cs="Arial" w:eastAsia="Arial" w:hAnsi="Arial"/>
          <w:sz w:val="13"/>
          <w:szCs w:val="13"/>
          <w:b w:val="1"/>
          <w:bCs w:val="1"/>
          <w:color w:val="auto"/>
        </w:rPr>
        <w:t xml:space="preserve"> </w:t>
      </w:r>
      <w:r>
        <w:rPr>
          <w:rFonts w:ascii="Arial" w:cs="Arial" w:eastAsia="Arial" w:hAnsi="Arial"/>
          <w:sz w:val="13"/>
          <w:szCs w:val="13"/>
          <w:color w:val="auto"/>
        </w:rPr>
        <w:t>which have solid growth prospects via exposure to clear infrastructure trends and are expected to lead to strong long-term total stockholder returns.</w:t>
      </w:r>
    </w:p>
    <w:p>
      <w:pPr>
        <w:spacing w:after="0" w:line="63" w:lineRule="exact"/>
        <w:rPr>
          <w:rFonts w:ascii="Arial" w:cs="Arial" w:eastAsia="Arial" w:hAnsi="Arial"/>
          <w:sz w:val="13"/>
          <w:szCs w:val="13"/>
          <w:color w:val="auto"/>
        </w:rPr>
      </w:pPr>
    </w:p>
    <w:p>
      <w:pPr>
        <w:ind w:left="1320" w:right="1079" w:hanging="303"/>
        <w:spacing w:after="0" w:line="255" w:lineRule="auto"/>
        <w:tabs>
          <w:tab w:leader="none" w:pos="1320" w:val="left"/>
        </w:tabs>
        <w:numPr>
          <w:ilvl w:val="0"/>
          <w:numId w:val="4"/>
        </w:numPr>
        <w:rPr>
          <w:rFonts w:ascii="Arial" w:cs="Arial" w:eastAsia="Arial" w:hAnsi="Arial"/>
          <w:sz w:val="13"/>
          <w:szCs w:val="13"/>
          <w:color w:val="auto"/>
        </w:rPr>
      </w:pPr>
      <w:r>
        <w:rPr>
          <w:rFonts w:ascii="Arial" w:cs="Arial" w:eastAsia="Arial" w:hAnsi="Arial"/>
          <w:sz w:val="13"/>
          <w:szCs w:val="13"/>
          <w:b w:val="1"/>
          <w:bCs w:val="1"/>
          <w:u w:val="single" w:color="auto"/>
          <w:color w:val="auto"/>
        </w:rPr>
        <w:t>With strong and healthy cash flows, we have continued our efforts to enhance our portfolio,</w:t>
      </w:r>
      <w:r>
        <w:rPr>
          <w:rFonts w:ascii="Arial" w:cs="Arial" w:eastAsia="Arial" w:hAnsi="Arial"/>
          <w:sz w:val="13"/>
          <w:szCs w:val="13"/>
          <w:b w:val="1"/>
          <w:bCs w:val="1"/>
          <w:color w:val="auto"/>
        </w:rPr>
        <w:t xml:space="preserve"> </w:t>
      </w:r>
      <w:r>
        <w:rPr>
          <w:rFonts w:ascii="Arial" w:cs="Arial" w:eastAsia="Arial" w:hAnsi="Arial"/>
          <w:sz w:val="13"/>
          <w:szCs w:val="13"/>
          <w:color w:val="auto"/>
        </w:rPr>
        <w:t>resulting in significant strategic</w:t>
      </w:r>
      <w:r>
        <w:rPr>
          <w:rFonts w:ascii="Arial" w:cs="Arial" w:eastAsia="Arial" w:hAnsi="Arial"/>
          <w:sz w:val="13"/>
          <w:szCs w:val="13"/>
          <w:b w:val="1"/>
          <w:bCs w:val="1"/>
          <w:color w:val="auto"/>
        </w:rPr>
        <w:t xml:space="preserve"> </w:t>
      </w:r>
      <w:r>
        <w:rPr>
          <w:rFonts w:ascii="Arial" w:cs="Arial" w:eastAsia="Arial" w:hAnsi="Arial"/>
          <w:sz w:val="13"/>
          <w:szCs w:val="13"/>
          <w:color w:val="auto"/>
        </w:rPr>
        <w:t>optionality and flexibility. Over time, this has enhanced our ability to source and allocate growth capital to selectively pursue value creating accretive opportunities.</w:t>
      </w:r>
    </w:p>
    <w:p>
      <w:pPr>
        <w:spacing w:after="0" w:line="282" w:lineRule="exact"/>
        <w:rPr>
          <w:sz w:val="20"/>
          <w:szCs w:val="20"/>
          <w:color w:val="auto"/>
        </w:rPr>
      </w:pPr>
    </w:p>
    <w:p>
      <w:pPr>
        <w:ind w:left="680"/>
        <w:spacing w:after="0"/>
        <w:rPr>
          <w:sz w:val="20"/>
          <w:szCs w:val="20"/>
          <w:color w:val="auto"/>
        </w:rPr>
      </w:pPr>
      <w:r>
        <w:rPr>
          <w:rFonts w:ascii="Arial" w:cs="Arial" w:eastAsia="Arial" w:hAnsi="Arial"/>
          <w:sz w:val="12"/>
          <w:szCs w:val="12"/>
          <w:b w:val="1"/>
          <w:bCs w:val="1"/>
          <w:color w:val="auto"/>
        </w:rPr>
        <w:t>REGULATED AND UNREGULATED BUSINESSES POSITIONED TO DELIVER VALUE WELL IN EXCESS OF INADEQUATE OFFER</w:t>
      </w:r>
    </w:p>
    <w:p>
      <w:pPr>
        <w:spacing w:after="0" w:line="169" w:lineRule="exact"/>
        <w:rPr>
          <w:sz w:val="20"/>
          <w:szCs w:val="20"/>
          <w:color w:val="auto"/>
        </w:rPr>
      </w:pPr>
    </w:p>
    <w:p>
      <w:pPr>
        <w:ind w:left="640" w:right="739"/>
        <w:spacing w:after="0" w:line="273" w:lineRule="auto"/>
        <w:rPr>
          <w:sz w:val="20"/>
          <w:szCs w:val="20"/>
          <w:color w:val="auto"/>
        </w:rPr>
      </w:pPr>
      <w:r>
        <w:rPr>
          <w:rFonts w:ascii="Arial" w:cs="Arial" w:eastAsia="Arial" w:hAnsi="Arial"/>
          <w:sz w:val="12"/>
          <w:szCs w:val="12"/>
          <w:color w:val="auto"/>
        </w:rPr>
        <w:t xml:space="preserve">Despite pandemic-related challenges over the last year, we have enhanced our strategic positioning, expanded into new and attractive markets and strengthened and diversified our revenue streams. As the energy transition creates new opportunities, we remain well positioned for growth as we execute our strategy and remain focused on providing excellent service to our customers, opportunities to our employees, and growing returns to our stockholders. </w:t>
      </w:r>
      <w:r>
        <w:rPr>
          <w:rFonts w:ascii="Arial" w:cs="Arial" w:eastAsia="Arial" w:hAnsi="Arial"/>
          <w:sz w:val="12"/>
          <w:szCs w:val="12"/>
          <w:b w:val="1"/>
          <w:bCs w:val="1"/>
          <w:u w:val="single" w:color="auto"/>
          <w:color w:val="auto"/>
        </w:rPr>
        <w:t>As we continue to deliver strong operational and financial performance, we will continue to evaluate scenarios that offer the most</w:t>
      </w:r>
      <w:r>
        <w:rPr>
          <w:rFonts w:ascii="Arial" w:cs="Arial" w:eastAsia="Arial" w:hAnsi="Arial"/>
          <w:sz w:val="12"/>
          <w:szCs w:val="12"/>
          <w:color w:val="auto"/>
        </w:rPr>
        <w:t xml:space="preserve"> </w:t>
      </w:r>
      <w:r>
        <w:rPr>
          <w:rFonts w:ascii="Arial" w:cs="Arial" w:eastAsia="Arial" w:hAnsi="Arial"/>
          <w:sz w:val="12"/>
          <w:szCs w:val="12"/>
          <w:b w:val="1"/>
          <w:bCs w:val="1"/>
          <w:u w:val="single" w:color="auto"/>
          <w:color w:val="auto"/>
        </w:rPr>
        <w:t>long-term value for the Company and stockholders.</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i w:val="1"/>
          <w:iCs w:val="1"/>
          <w:color w:val="auto"/>
        </w:rPr>
        <w:t>Exciting Strategic and Financial Opportunities in Regulated Natural Gas Operations</w:t>
      </w:r>
    </w:p>
    <w:p>
      <w:pPr>
        <w:spacing w:after="0" w:line="154" w:lineRule="exact"/>
        <w:rPr>
          <w:sz w:val="20"/>
          <w:szCs w:val="20"/>
          <w:color w:val="auto"/>
        </w:rPr>
      </w:pPr>
    </w:p>
    <w:p>
      <w:pPr>
        <w:ind w:left="640" w:right="679"/>
        <w:spacing w:after="0" w:line="247" w:lineRule="auto"/>
        <w:rPr>
          <w:sz w:val="20"/>
          <w:szCs w:val="20"/>
          <w:color w:val="auto"/>
        </w:rPr>
      </w:pPr>
      <w:r>
        <w:rPr>
          <w:rFonts w:ascii="Arial" w:cs="Arial" w:eastAsia="Arial" w:hAnsi="Arial"/>
          <w:sz w:val="13"/>
          <w:szCs w:val="13"/>
          <w:color w:val="auto"/>
        </w:rPr>
        <w:t>Drawn by robust economies, job growth, attractive business climates, and excellent quality of life, residents and businesses have been moving into Arizona, Nevada, and California and are expected to continue to do so. Southwest Gas is positioned to benefit from this societal trend and others such as gas infrastructure replacement and safety and reliability investments, with ratebase growth of 7.5% per year expected over 2021-2025. We will continue to grow ratebase, as we have historically, in a responsible manner from the perspective of all stakeholders, which means maximizing safety and reliability while managing customer bill impacts.</w:t>
      </w:r>
    </w:p>
    <w:p>
      <w:pPr>
        <w:spacing w:after="0" w:line="212" w:lineRule="exact"/>
        <w:rPr>
          <w:sz w:val="20"/>
          <w:szCs w:val="20"/>
          <w:color w:val="auto"/>
        </w:rPr>
      </w:pPr>
    </w:p>
    <w:p>
      <w:pPr>
        <w:jc w:val="both"/>
        <w:ind w:left="640" w:right="899"/>
        <w:spacing w:after="0" w:line="323" w:lineRule="auto"/>
        <w:rPr>
          <w:sz w:val="20"/>
          <w:szCs w:val="20"/>
          <w:color w:val="auto"/>
        </w:rPr>
      </w:pPr>
      <w:r>
        <w:rPr>
          <w:rFonts w:ascii="Arial" w:cs="Arial" w:eastAsia="Arial" w:hAnsi="Arial"/>
          <w:sz w:val="11"/>
          <w:szCs w:val="11"/>
          <w:b w:val="1"/>
          <w:bCs w:val="1"/>
          <w:u w:val="single" w:color="auto"/>
          <w:color w:val="auto"/>
        </w:rPr>
        <w:t>Southwest Gas’ pending Questar Pipelines acquisition also brings a complementary and compelling suite of high-return assets, with unique strength and stability, that are both commercially and geographically adjacent. This acquisition will significantly increase and diversify our regulated business mix – providing a robust stream of steady contracted earnings and cash flows – and is expected to:</w:t>
      </w:r>
    </w:p>
    <w:p>
      <w:pPr>
        <w:spacing w:after="0" w:line="34" w:lineRule="exact"/>
        <w:rPr>
          <w:sz w:val="20"/>
          <w:szCs w:val="20"/>
          <w:color w:val="auto"/>
        </w:rPr>
      </w:pPr>
    </w:p>
    <w:p>
      <w:pPr>
        <w:ind w:left="1320" w:hanging="303"/>
        <w:spacing w:after="0"/>
        <w:tabs>
          <w:tab w:leader="none" w:pos="1320" w:val="left"/>
        </w:tabs>
        <w:numPr>
          <w:ilvl w:val="0"/>
          <w:numId w:val="5"/>
        </w:numPr>
        <w:rPr>
          <w:rFonts w:ascii="Arial" w:cs="Arial" w:eastAsia="Arial" w:hAnsi="Arial"/>
          <w:sz w:val="12"/>
          <w:szCs w:val="12"/>
          <w:color w:val="auto"/>
        </w:rPr>
      </w:pPr>
      <w:r>
        <w:rPr>
          <w:rFonts w:ascii="Arial" w:cs="Arial" w:eastAsia="Arial" w:hAnsi="Arial"/>
          <w:sz w:val="12"/>
          <w:szCs w:val="12"/>
          <w:color w:val="auto"/>
        </w:rPr>
        <w:t>Significantly increase our optionality for the future of the Company by broadening our flexibility to source and allocate growth capital;</w:t>
      </w:r>
    </w:p>
    <w:p>
      <w:pPr>
        <w:spacing w:after="0" w:line="98" w:lineRule="exact"/>
        <w:rPr>
          <w:rFonts w:ascii="Arial" w:cs="Arial" w:eastAsia="Arial" w:hAnsi="Arial"/>
          <w:sz w:val="12"/>
          <w:szCs w:val="12"/>
          <w:color w:val="auto"/>
        </w:rPr>
      </w:pPr>
    </w:p>
    <w:p>
      <w:pPr>
        <w:ind w:left="1320" w:hanging="303"/>
        <w:spacing w:after="0"/>
        <w:tabs>
          <w:tab w:leader="none" w:pos="1320" w:val="left"/>
        </w:tabs>
        <w:numPr>
          <w:ilvl w:val="0"/>
          <w:numId w:val="5"/>
        </w:numPr>
        <w:rPr>
          <w:rFonts w:ascii="Arial" w:cs="Arial" w:eastAsia="Arial" w:hAnsi="Arial"/>
          <w:sz w:val="13"/>
          <w:szCs w:val="13"/>
          <w:color w:val="auto"/>
        </w:rPr>
      </w:pPr>
      <w:r>
        <w:rPr>
          <w:rFonts w:ascii="Arial" w:cs="Arial" w:eastAsia="Arial" w:hAnsi="Arial"/>
          <w:sz w:val="13"/>
          <w:szCs w:val="13"/>
          <w:color w:val="auto"/>
        </w:rPr>
        <w:t>Enhance our ability to continue paying a dividend at a target level of 55% to 65% of consolidated earnings;</w:t>
      </w:r>
    </w:p>
    <w:p>
      <w:pPr>
        <w:spacing w:after="0" w:line="87" w:lineRule="exact"/>
        <w:rPr>
          <w:rFonts w:ascii="Arial" w:cs="Arial" w:eastAsia="Arial" w:hAnsi="Arial"/>
          <w:sz w:val="13"/>
          <w:szCs w:val="13"/>
          <w:color w:val="auto"/>
        </w:rPr>
      </w:pPr>
    </w:p>
    <w:p>
      <w:pPr>
        <w:ind w:left="1320" w:hanging="303"/>
        <w:spacing w:after="0"/>
        <w:tabs>
          <w:tab w:leader="none" w:pos="1320" w:val="left"/>
        </w:tabs>
        <w:numPr>
          <w:ilvl w:val="0"/>
          <w:numId w:val="5"/>
        </w:numPr>
        <w:rPr>
          <w:rFonts w:ascii="Arial" w:cs="Arial" w:eastAsia="Arial" w:hAnsi="Arial"/>
          <w:sz w:val="13"/>
          <w:szCs w:val="13"/>
          <w:color w:val="auto"/>
        </w:rPr>
      </w:pPr>
      <w:r>
        <w:rPr>
          <w:rFonts w:ascii="Arial" w:cs="Arial" w:eastAsia="Arial" w:hAnsi="Arial"/>
          <w:sz w:val="13"/>
          <w:szCs w:val="13"/>
          <w:color w:val="auto"/>
        </w:rPr>
        <w:t>Be accretive to earnings in 2022—the first full year after the expected close; and</w:t>
      </w:r>
    </w:p>
    <w:p>
      <w:pPr>
        <w:spacing w:after="0" w:line="87" w:lineRule="exact"/>
        <w:rPr>
          <w:rFonts w:ascii="Arial" w:cs="Arial" w:eastAsia="Arial" w:hAnsi="Arial"/>
          <w:sz w:val="13"/>
          <w:szCs w:val="13"/>
          <w:color w:val="auto"/>
        </w:rPr>
      </w:pPr>
    </w:p>
    <w:p>
      <w:pPr>
        <w:ind w:left="1320" w:hanging="303"/>
        <w:spacing w:after="0"/>
        <w:tabs>
          <w:tab w:leader="none" w:pos="1320" w:val="left"/>
        </w:tabs>
        <w:numPr>
          <w:ilvl w:val="0"/>
          <w:numId w:val="5"/>
        </w:numPr>
        <w:rPr>
          <w:rFonts w:ascii="Arial" w:cs="Arial" w:eastAsia="Arial" w:hAnsi="Arial"/>
          <w:sz w:val="13"/>
          <w:szCs w:val="13"/>
          <w:color w:val="auto"/>
        </w:rPr>
      </w:pPr>
      <w:r>
        <w:rPr>
          <w:rFonts w:ascii="Arial" w:cs="Arial" w:eastAsia="Arial" w:hAnsi="Arial"/>
          <w:sz w:val="13"/>
          <w:szCs w:val="13"/>
          <w:color w:val="auto"/>
        </w:rPr>
        <w:t>Help us fund critical, forward-looking investments for continued effective growth.</w:t>
      </w:r>
    </w:p>
    <w:p>
      <w:pPr>
        <w:sectPr>
          <w:pgSz w:w="11900" w:h="16838" w:orient="portrait"/>
          <w:cols w:equalWidth="0" w:num="1">
            <w:col w:w="9019"/>
          </w:cols>
          <w:pgMar w:left="1440" w:top="231" w:right="1440"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3"/>
          <w:szCs w:val="13"/>
          <w:b w:val="1"/>
          <w:bCs w:val="1"/>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High-Growth Unregulated Infrastructure Services Business to Benefit From Infrastructure Spending</w:t>
      </w:r>
    </w:p>
    <w:p>
      <w:pPr>
        <w:spacing w:after="0" w:line="150" w:lineRule="exact"/>
        <w:rPr>
          <w:sz w:val="20"/>
          <w:szCs w:val="20"/>
          <w:color w:val="auto"/>
        </w:rPr>
      </w:pPr>
    </w:p>
    <w:p>
      <w:pPr>
        <w:ind w:left="640" w:right="679"/>
        <w:spacing w:after="0" w:line="271" w:lineRule="auto"/>
        <w:rPr>
          <w:sz w:val="20"/>
          <w:szCs w:val="20"/>
          <w:color w:val="auto"/>
        </w:rPr>
      </w:pPr>
      <w:r>
        <w:rPr>
          <w:rFonts w:ascii="Arial" w:cs="Arial" w:eastAsia="Arial" w:hAnsi="Arial"/>
          <w:sz w:val="12"/>
          <w:szCs w:val="12"/>
          <w:b w:val="1"/>
          <w:bCs w:val="1"/>
          <w:u w:val="single" w:color="auto"/>
          <w:color w:val="auto"/>
        </w:rPr>
        <w:t>Our unregulated utility infrastructure services business, Centuri, has nearly doubled its revenue over the last four years and has strong continuing growth potential.</w:t>
      </w:r>
      <w:r>
        <w:rPr>
          <w:rFonts w:ascii="Arial" w:cs="Arial" w:eastAsia="Arial" w:hAnsi="Arial"/>
          <w:sz w:val="12"/>
          <w:szCs w:val="12"/>
          <w:b w:val="1"/>
          <w:bCs w:val="1"/>
          <w:color w:val="auto"/>
        </w:rPr>
        <w:t xml:space="preserve"> </w:t>
      </w:r>
      <w:r>
        <w:rPr>
          <w:rFonts w:ascii="Arial" w:cs="Arial" w:eastAsia="Arial" w:hAnsi="Arial"/>
          <w:sz w:val="12"/>
          <w:szCs w:val="12"/>
          <w:color w:val="auto"/>
        </w:rPr>
        <w:t>Centuri is diversified across the U.S. and Canada with a blue-chip, attractive customer base composed of electric, gas and</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combination utilities and is poised for high growth and significant upside associated with infrastructure investment in the U.S. and Canada. </w:t>
      </w:r>
      <w:r>
        <w:rPr>
          <w:rFonts w:ascii="Arial" w:cs="Arial" w:eastAsia="Arial" w:hAnsi="Arial"/>
          <w:sz w:val="12"/>
          <w:szCs w:val="12"/>
          <w:b w:val="1"/>
          <w:bCs w:val="1"/>
          <w:u w:val="single" w:color="auto"/>
          <w:color w:val="auto"/>
        </w:rPr>
        <w:t>The recent</w:t>
      </w:r>
      <w:r>
        <w:rPr>
          <w:rFonts w:ascii="Arial" w:cs="Arial" w:eastAsia="Arial" w:hAnsi="Arial"/>
          <w:sz w:val="12"/>
          <w:szCs w:val="12"/>
          <w:color w:val="auto"/>
        </w:rPr>
        <w:t xml:space="preserve"> </w:t>
      </w:r>
      <w:r>
        <w:rPr>
          <w:rFonts w:ascii="Arial" w:cs="Arial" w:eastAsia="Arial" w:hAnsi="Arial"/>
          <w:sz w:val="12"/>
          <w:szCs w:val="12"/>
          <w:b w:val="1"/>
          <w:bCs w:val="1"/>
          <w:u w:val="single" w:color="auto"/>
          <w:color w:val="auto"/>
        </w:rPr>
        <w:t>acquisition of Riggs Distler (2021) follows the acquisition of Linetec (2018) and is expected to help accelerate Centuri’s growth. The Riggs Distler transaction is just the latest in a series of actions that has contributed to positioning Centuri to serve the entire utility and infrastructure value chain nationally. Riggs Distler is expected to drive Centuri’s expansion into the Northeast and Mid-Atlantic and is expected to be accretive to earnings in the first full year following its completion.</w:t>
      </w:r>
    </w:p>
    <w:p>
      <w:pPr>
        <w:spacing w:after="0" w:line="274" w:lineRule="exact"/>
        <w:rPr>
          <w:sz w:val="20"/>
          <w:szCs w:val="20"/>
          <w:color w:val="auto"/>
        </w:rPr>
      </w:pPr>
    </w:p>
    <w:p>
      <w:pPr>
        <w:jc w:val="center"/>
        <w:ind w:left="2100"/>
        <w:spacing w:after="0" w:line="267" w:lineRule="auto"/>
        <w:rPr>
          <w:sz w:val="20"/>
          <w:szCs w:val="20"/>
          <w:color w:val="auto"/>
        </w:rPr>
      </w:pPr>
      <w:r>
        <w:rPr>
          <w:rFonts w:ascii="Arial" w:cs="Arial" w:eastAsia="Arial" w:hAnsi="Arial"/>
          <w:sz w:val="13"/>
          <w:szCs w:val="13"/>
          <w:b w:val="1"/>
          <w:bCs w:val="1"/>
          <w:color w:val="auto"/>
        </w:rPr>
        <w:t>YOUR BOARD UNANIMOUSLY RECOMMENDS THAT STOCKHOLDERS REJECT MR. ICAHN’S OFFER AND NOT TENDER YOUR SHARES, FOR THE FOLLOWING REASONS</w:t>
      </w:r>
    </w:p>
    <w:p>
      <w:pPr>
        <w:spacing w:after="0" w:line="141" w:lineRule="exact"/>
        <w:rPr>
          <w:sz w:val="20"/>
          <w:szCs w:val="20"/>
          <w:color w:val="auto"/>
        </w:rPr>
      </w:pPr>
    </w:p>
    <w:p>
      <w:pPr>
        <w:ind w:left="1320" w:hanging="303"/>
        <w:spacing w:after="0"/>
        <w:tabs>
          <w:tab w:leader="none" w:pos="1320" w:val="left"/>
        </w:tabs>
        <w:numPr>
          <w:ilvl w:val="0"/>
          <w:numId w:val="6"/>
        </w:numPr>
        <w:rPr>
          <w:rFonts w:ascii="Arial" w:cs="Arial" w:eastAsia="Arial" w:hAnsi="Arial"/>
          <w:sz w:val="13"/>
          <w:szCs w:val="13"/>
          <w:color w:val="auto"/>
        </w:rPr>
      </w:pPr>
      <w:r>
        <w:rPr>
          <w:rFonts w:ascii="Arial" w:cs="Arial" w:eastAsia="Arial" w:hAnsi="Arial"/>
          <w:sz w:val="13"/>
          <w:szCs w:val="13"/>
          <w:b w:val="1"/>
          <w:bCs w:val="1"/>
          <w:color w:val="auto"/>
        </w:rPr>
        <w:t>The Offer is Inadequate and Undervalues Southwest Gas.</w:t>
      </w:r>
    </w:p>
    <w:p>
      <w:pPr>
        <w:spacing w:after="0" w:line="91" w:lineRule="exact"/>
        <w:rPr>
          <w:rFonts w:ascii="Arial" w:cs="Arial" w:eastAsia="Arial" w:hAnsi="Arial"/>
          <w:sz w:val="13"/>
          <w:szCs w:val="13"/>
          <w:color w:val="auto"/>
        </w:rPr>
      </w:pPr>
    </w:p>
    <w:p>
      <w:pPr>
        <w:ind w:left="2100" w:right="759" w:hanging="382"/>
        <w:spacing w:after="0" w:line="303" w:lineRule="auto"/>
        <w:tabs>
          <w:tab w:leader="none" w:pos="2100" w:val="left"/>
        </w:tabs>
        <w:numPr>
          <w:ilvl w:val="1"/>
          <w:numId w:val="6"/>
        </w:numPr>
        <w:rPr>
          <w:rFonts w:ascii="Arial" w:cs="Arial" w:eastAsia="Arial" w:hAnsi="Arial"/>
          <w:sz w:val="11"/>
          <w:szCs w:val="11"/>
          <w:color w:val="auto"/>
        </w:rPr>
      </w:pPr>
      <w:r>
        <w:rPr>
          <w:rFonts w:ascii="Arial" w:cs="Arial" w:eastAsia="Arial" w:hAnsi="Arial"/>
          <w:sz w:val="11"/>
          <w:szCs w:val="11"/>
          <w:color w:val="auto"/>
        </w:rPr>
        <w:t>The Offer does not reflect Southwest Gas’ strong track record of value creation and disregards the Company’s compelling prospects for continued growth and the ongoing creation of sustainable, long-term stockholder value. The Board and management have been and will continue to be focused on optimizing the value of Southwest Gas’ component businesses (which we expect will soon include Questar) as well as Southwest Gas as a whole and are focused on implementing plans that they believe will further drive stockholder value and relative stock price performance.</w:t>
      </w:r>
    </w:p>
    <w:p>
      <w:pPr>
        <w:spacing w:after="0" w:line="45" w:lineRule="exact"/>
        <w:rPr>
          <w:rFonts w:ascii="Arial" w:cs="Arial" w:eastAsia="Arial" w:hAnsi="Arial"/>
          <w:sz w:val="11"/>
          <w:szCs w:val="11"/>
          <w:color w:val="auto"/>
        </w:rPr>
      </w:pPr>
    </w:p>
    <w:p>
      <w:pPr>
        <w:ind w:left="2100" w:right="699" w:hanging="382"/>
        <w:spacing w:after="0" w:line="283" w:lineRule="auto"/>
        <w:tabs>
          <w:tab w:leader="none" w:pos="2100" w:val="left"/>
        </w:tabs>
        <w:numPr>
          <w:ilvl w:val="1"/>
          <w:numId w:val="6"/>
        </w:numPr>
        <w:rPr>
          <w:rFonts w:ascii="Arial" w:cs="Arial" w:eastAsia="Arial" w:hAnsi="Arial"/>
          <w:sz w:val="12"/>
          <w:szCs w:val="12"/>
          <w:color w:val="auto"/>
        </w:rPr>
      </w:pPr>
      <w:r>
        <w:rPr>
          <w:rFonts w:ascii="Arial" w:cs="Arial" w:eastAsia="Arial" w:hAnsi="Arial"/>
          <w:sz w:val="12"/>
          <w:szCs w:val="12"/>
          <w:color w:val="auto"/>
        </w:rPr>
        <w:t>The Company’s businesses continue to perform well, generating strong and healthy cash flows and enhancing our ability to source and allocate growth capital to selectively pursue value creating accretive opportunities – evidenced by the recent acquisitions of Linetec Services, Riggs Distler and the pending acquisition of Questar Pipelines.</w:t>
      </w:r>
    </w:p>
    <w:p>
      <w:pPr>
        <w:spacing w:after="0" w:line="52" w:lineRule="exact"/>
        <w:rPr>
          <w:rFonts w:ascii="Arial" w:cs="Arial" w:eastAsia="Arial" w:hAnsi="Arial"/>
          <w:sz w:val="12"/>
          <w:szCs w:val="12"/>
          <w:color w:val="auto"/>
        </w:rPr>
      </w:pPr>
    </w:p>
    <w:p>
      <w:pPr>
        <w:ind w:left="2100" w:hanging="382"/>
        <w:spacing w:after="0"/>
        <w:tabs>
          <w:tab w:leader="none" w:pos="2100" w:val="left"/>
        </w:tabs>
        <w:numPr>
          <w:ilvl w:val="1"/>
          <w:numId w:val="6"/>
        </w:numPr>
        <w:rPr>
          <w:rFonts w:ascii="Arial" w:cs="Arial" w:eastAsia="Arial" w:hAnsi="Arial"/>
          <w:sz w:val="13"/>
          <w:szCs w:val="13"/>
          <w:color w:val="auto"/>
        </w:rPr>
      </w:pPr>
      <w:r>
        <w:rPr>
          <w:rFonts w:ascii="Arial" w:cs="Arial" w:eastAsia="Arial" w:hAnsi="Arial"/>
          <w:sz w:val="13"/>
          <w:szCs w:val="13"/>
          <w:color w:val="auto"/>
        </w:rPr>
        <w:t>Our recent transactions have provided us with the scale and strategic optionality to unlock additional value.</w:t>
      </w:r>
    </w:p>
    <w:p>
      <w:pPr>
        <w:spacing w:after="0" w:line="87" w:lineRule="exact"/>
        <w:rPr>
          <w:rFonts w:ascii="Arial" w:cs="Arial" w:eastAsia="Arial" w:hAnsi="Arial"/>
          <w:sz w:val="13"/>
          <w:szCs w:val="13"/>
          <w:color w:val="auto"/>
        </w:rPr>
      </w:pPr>
    </w:p>
    <w:p>
      <w:pPr>
        <w:ind w:left="2100" w:right="719" w:hanging="382"/>
        <w:spacing w:after="0" w:line="252" w:lineRule="auto"/>
        <w:tabs>
          <w:tab w:leader="none" w:pos="2100" w:val="left"/>
        </w:tabs>
        <w:numPr>
          <w:ilvl w:val="1"/>
          <w:numId w:val="6"/>
        </w:numPr>
        <w:rPr>
          <w:rFonts w:ascii="Arial" w:cs="Arial" w:eastAsia="Arial" w:hAnsi="Arial"/>
          <w:sz w:val="13"/>
          <w:szCs w:val="13"/>
          <w:color w:val="auto"/>
        </w:rPr>
      </w:pPr>
      <w:r>
        <w:rPr>
          <w:rFonts w:ascii="Arial" w:cs="Arial" w:eastAsia="Arial" w:hAnsi="Arial"/>
          <w:sz w:val="13"/>
          <w:szCs w:val="13"/>
          <w:color w:val="auto"/>
        </w:rPr>
        <w:t>Due in large part to the growth in the Southwest region and supportive regulatory relationships, we have a robust capital plan and have been investing in our business, which we believe will continue to translate to greater long-term earnings due to greater ratebase growth at our regulated gas LDC business.</w:t>
      </w:r>
    </w:p>
    <w:p>
      <w:pPr>
        <w:spacing w:after="0" w:line="65" w:lineRule="exact"/>
        <w:rPr>
          <w:rFonts w:ascii="Arial" w:cs="Arial" w:eastAsia="Arial" w:hAnsi="Arial"/>
          <w:sz w:val="13"/>
          <w:szCs w:val="13"/>
          <w:color w:val="auto"/>
        </w:rPr>
      </w:pPr>
    </w:p>
    <w:p>
      <w:pPr>
        <w:ind w:left="1320" w:right="859" w:hanging="303"/>
        <w:spacing w:after="0" w:line="267" w:lineRule="auto"/>
        <w:tabs>
          <w:tab w:leader="none" w:pos="1320" w:val="left"/>
        </w:tabs>
        <w:numPr>
          <w:ilvl w:val="0"/>
          <w:numId w:val="6"/>
        </w:numPr>
        <w:rPr>
          <w:rFonts w:ascii="Arial" w:cs="Arial" w:eastAsia="Arial" w:hAnsi="Arial"/>
          <w:sz w:val="13"/>
          <w:szCs w:val="13"/>
          <w:color w:val="auto"/>
        </w:rPr>
      </w:pPr>
      <w:r>
        <w:rPr>
          <w:rFonts w:ascii="Arial" w:cs="Arial" w:eastAsia="Arial" w:hAnsi="Arial"/>
          <w:sz w:val="13"/>
          <w:szCs w:val="13"/>
          <w:b w:val="1"/>
          <w:bCs w:val="1"/>
          <w:color w:val="auto"/>
        </w:rPr>
        <w:t>The track record of Mr. Icahn, as well as the quantity and nature of the conditions to his highly illusory Offer, create significant uncertainty and risk.</w:t>
      </w:r>
    </w:p>
    <w:p>
      <w:pPr>
        <w:spacing w:after="0" w:line="59" w:lineRule="exact"/>
        <w:rPr>
          <w:rFonts w:ascii="Arial" w:cs="Arial" w:eastAsia="Arial" w:hAnsi="Arial"/>
          <w:sz w:val="13"/>
          <w:szCs w:val="13"/>
          <w:color w:val="auto"/>
        </w:rPr>
      </w:pPr>
    </w:p>
    <w:p>
      <w:pPr>
        <w:ind w:left="2100" w:right="899" w:hanging="382"/>
        <w:spacing w:after="0" w:line="261" w:lineRule="auto"/>
        <w:tabs>
          <w:tab w:leader="none" w:pos="2100" w:val="left"/>
        </w:tabs>
        <w:numPr>
          <w:ilvl w:val="1"/>
          <w:numId w:val="6"/>
        </w:numPr>
        <w:rPr>
          <w:rFonts w:ascii="Arial" w:cs="Arial" w:eastAsia="Arial" w:hAnsi="Arial"/>
          <w:sz w:val="13"/>
          <w:szCs w:val="13"/>
          <w:color w:val="auto"/>
        </w:rPr>
      </w:pPr>
      <w:r>
        <w:rPr>
          <w:rFonts w:ascii="Arial" w:cs="Arial" w:eastAsia="Arial" w:hAnsi="Arial"/>
          <w:sz w:val="13"/>
          <w:szCs w:val="13"/>
          <w:color w:val="auto"/>
        </w:rPr>
        <w:t>Mr. Icahn has an extremely poor track record of completing transactions in similar situations. In fact, Mr. Icahn and his affiliates hardly ever consummate a tender offer once launched.</w:t>
      </w:r>
    </w:p>
    <w:p>
      <w:pPr>
        <w:spacing w:after="0" w:line="63" w:lineRule="exact"/>
        <w:rPr>
          <w:rFonts w:ascii="Arial" w:cs="Arial" w:eastAsia="Arial" w:hAnsi="Arial"/>
          <w:sz w:val="13"/>
          <w:szCs w:val="13"/>
          <w:color w:val="auto"/>
        </w:rPr>
      </w:pPr>
    </w:p>
    <w:p>
      <w:pPr>
        <w:jc w:val="both"/>
        <w:ind w:left="2100" w:right="799" w:hanging="382"/>
        <w:spacing w:after="0" w:line="252" w:lineRule="auto"/>
        <w:tabs>
          <w:tab w:leader="none" w:pos="2100" w:val="left"/>
        </w:tabs>
        <w:numPr>
          <w:ilvl w:val="1"/>
          <w:numId w:val="6"/>
        </w:numPr>
        <w:rPr>
          <w:rFonts w:ascii="Arial" w:cs="Arial" w:eastAsia="Arial" w:hAnsi="Arial"/>
          <w:sz w:val="13"/>
          <w:szCs w:val="13"/>
          <w:color w:val="auto"/>
        </w:rPr>
      </w:pPr>
      <w:r>
        <w:rPr>
          <w:rFonts w:ascii="Arial" w:cs="Arial" w:eastAsia="Arial" w:hAnsi="Arial"/>
          <w:sz w:val="13"/>
          <w:szCs w:val="13"/>
          <w:color w:val="auto"/>
        </w:rPr>
        <w:t>The Offer contains a long list of conditions, many of which are in Mr. Icahn’s control, including that he may assert, in his sole discretion, whenever he chooses, for any reason he chooses, that a condition has not been satisfied – and nobody can challenge his decision:</w:t>
      </w:r>
    </w:p>
    <w:p>
      <w:pPr>
        <w:spacing w:after="0" w:line="69" w:lineRule="exact"/>
        <w:rPr>
          <w:rFonts w:ascii="Arial" w:cs="Arial" w:eastAsia="Arial" w:hAnsi="Arial"/>
          <w:sz w:val="13"/>
          <w:szCs w:val="13"/>
          <w:color w:val="auto"/>
        </w:rPr>
      </w:pPr>
    </w:p>
    <w:p>
      <w:pPr>
        <w:ind w:left="2320" w:hanging="299"/>
        <w:spacing w:after="0"/>
        <w:tabs>
          <w:tab w:leader="none" w:pos="2320" w:val="left"/>
        </w:tabs>
        <w:numPr>
          <w:ilvl w:val="2"/>
          <w:numId w:val="6"/>
        </w:numPr>
        <w:rPr>
          <w:rFonts w:ascii="Arial" w:cs="Arial" w:eastAsia="Arial" w:hAnsi="Arial"/>
          <w:sz w:val="13"/>
          <w:szCs w:val="13"/>
          <w:color w:val="auto"/>
        </w:rPr>
      </w:pPr>
      <w:r>
        <w:rPr>
          <w:rFonts w:ascii="Arial" w:cs="Arial" w:eastAsia="Arial" w:hAnsi="Arial"/>
          <w:sz w:val="13"/>
          <w:szCs w:val="13"/>
          <w:i w:val="1"/>
          <w:iCs w:val="1"/>
          <w:color w:val="auto"/>
        </w:rPr>
        <w:t xml:space="preserve">Regulatory Approval </w:t>
      </w:r>
      <w:r>
        <w:rPr>
          <w:rFonts w:ascii="Arial" w:cs="Arial" w:eastAsia="Arial" w:hAnsi="Arial"/>
          <w:sz w:val="13"/>
          <w:szCs w:val="13"/>
          <w:color w:val="auto"/>
        </w:rPr>
        <w:t>Condition</w:t>
      </w:r>
    </w:p>
    <w:p>
      <w:pPr>
        <w:spacing w:after="0" w:line="87" w:lineRule="exact"/>
        <w:rPr>
          <w:rFonts w:ascii="Arial" w:cs="Arial" w:eastAsia="Arial" w:hAnsi="Arial"/>
          <w:sz w:val="13"/>
          <w:szCs w:val="13"/>
          <w:color w:val="auto"/>
        </w:rPr>
      </w:pPr>
    </w:p>
    <w:p>
      <w:pPr>
        <w:ind w:left="2320" w:hanging="299"/>
        <w:spacing w:after="0"/>
        <w:tabs>
          <w:tab w:leader="none" w:pos="2320" w:val="left"/>
        </w:tabs>
        <w:numPr>
          <w:ilvl w:val="2"/>
          <w:numId w:val="6"/>
        </w:numPr>
        <w:rPr>
          <w:rFonts w:ascii="Arial" w:cs="Arial" w:eastAsia="Arial" w:hAnsi="Arial"/>
          <w:sz w:val="13"/>
          <w:szCs w:val="13"/>
          <w:color w:val="auto"/>
        </w:rPr>
      </w:pPr>
      <w:r>
        <w:rPr>
          <w:rFonts w:ascii="Arial" w:cs="Arial" w:eastAsia="Arial" w:hAnsi="Arial"/>
          <w:sz w:val="13"/>
          <w:szCs w:val="13"/>
          <w:i w:val="1"/>
          <w:iCs w:val="1"/>
          <w:color w:val="auto"/>
        </w:rPr>
        <w:t xml:space="preserve">No Injunction </w:t>
      </w:r>
      <w:r>
        <w:rPr>
          <w:rFonts w:ascii="Arial" w:cs="Arial" w:eastAsia="Arial" w:hAnsi="Arial"/>
          <w:sz w:val="13"/>
          <w:szCs w:val="13"/>
          <w:color w:val="auto"/>
        </w:rPr>
        <w:t>Condition</w:t>
      </w:r>
    </w:p>
    <w:p>
      <w:pPr>
        <w:sectPr>
          <w:pgSz w:w="11900" w:h="16838" w:orient="portrait"/>
          <w:cols w:equalWidth="0" w:num="1">
            <w:col w:w="9019"/>
          </w:cols>
          <w:pgMar w:left="1440" w:top="235" w:right="1440" w:bottom="1440" w:gutter="0" w:footer="0" w:header="0"/>
        </w:sectPr>
      </w:pPr>
    </w:p>
    <w:bookmarkStart w:id="14" w:name="page15"/>
    <w:bookmarkEnd w:id="14"/>
    <w:p>
      <w:pPr>
        <w:ind w:left="2320" w:hanging="299"/>
        <w:spacing w:after="0"/>
        <w:tabs>
          <w:tab w:leader="none" w:pos="2320" w:val="left"/>
        </w:tabs>
        <w:numPr>
          <w:ilvl w:val="2"/>
          <w:numId w:val="7"/>
        </w:numPr>
        <w:rPr>
          <w:rFonts w:ascii="Arial" w:cs="Arial" w:eastAsia="Arial" w:hAnsi="Arial"/>
          <w:sz w:val="13"/>
          <w:szCs w:val="13"/>
          <w:color w:val="auto"/>
        </w:rPr>
      </w:pPr>
      <w:r>
        <w:rPr>
          <w:rFonts w:ascii="Arial" w:cs="Arial" w:eastAsia="Arial" w:hAnsi="Arial"/>
          <w:sz w:val="13"/>
          <w:szCs w:val="13"/>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No External Events </w:t>
      </w:r>
      <w:r>
        <w:rPr>
          <w:rFonts w:ascii="Arial" w:cs="Arial" w:eastAsia="Arial" w:hAnsi="Arial"/>
          <w:sz w:val="13"/>
          <w:szCs w:val="13"/>
          <w:color w:val="auto"/>
        </w:rPr>
        <w:t>Condition</w:t>
      </w:r>
    </w:p>
    <w:p>
      <w:pPr>
        <w:spacing w:after="0" w:line="87" w:lineRule="exact"/>
        <w:rPr>
          <w:rFonts w:ascii="Arial" w:cs="Arial" w:eastAsia="Arial" w:hAnsi="Arial"/>
          <w:sz w:val="13"/>
          <w:szCs w:val="13"/>
          <w:color w:val="auto"/>
        </w:rPr>
      </w:pPr>
    </w:p>
    <w:p>
      <w:pPr>
        <w:ind w:left="2320" w:hanging="299"/>
        <w:spacing w:after="0"/>
        <w:tabs>
          <w:tab w:leader="none" w:pos="2320" w:val="left"/>
        </w:tabs>
        <w:numPr>
          <w:ilvl w:val="2"/>
          <w:numId w:val="7"/>
        </w:numPr>
        <w:rPr>
          <w:rFonts w:ascii="Arial" w:cs="Arial" w:eastAsia="Arial" w:hAnsi="Arial"/>
          <w:sz w:val="13"/>
          <w:szCs w:val="13"/>
          <w:color w:val="auto"/>
        </w:rPr>
      </w:pPr>
      <w:r>
        <w:rPr>
          <w:rFonts w:ascii="Arial" w:cs="Arial" w:eastAsia="Arial" w:hAnsi="Arial"/>
          <w:sz w:val="13"/>
          <w:szCs w:val="13"/>
          <w:i w:val="1"/>
          <w:iCs w:val="1"/>
          <w:color w:val="auto"/>
        </w:rPr>
        <w:t xml:space="preserve">No Challenge </w:t>
      </w:r>
      <w:r>
        <w:rPr>
          <w:rFonts w:ascii="Arial" w:cs="Arial" w:eastAsia="Arial" w:hAnsi="Arial"/>
          <w:sz w:val="13"/>
          <w:szCs w:val="13"/>
          <w:color w:val="auto"/>
        </w:rPr>
        <w:t>Condition</w:t>
      </w:r>
    </w:p>
    <w:p>
      <w:pPr>
        <w:spacing w:after="0" w:line="87" w:lineRule="exact"/>
        <w:rPr>
          <w:rFonts w:ascii="Arial" w:cs="Arial" w:eastAsia="Arial" w:hAnsi="Arial"/>
          <w:sz w:val="13"/>
          <w:szCs w:val="13"/>
          <w:color w:val="auto"/>
        </w:rPr>
      </w:pPr>
    </w:p>
    <w:p>
      <w:pPr>
        <w:ind w:left="2320" w:hanging="299"/>
        <w:spacing w:after="0"/>
        <w:tabs>
          <w:tab w:leader="none" w:pos="2320" w:val="left"/>
        </w:tabs>
        <w:numPr>
          <w:ilvl w:val="2"/>
          <w:numId w:val="7"/>
        </w:numPr>
        <w:rPr>
          <w:rFonts w:ascii="Arial" w:cs="Arial" w:eastAsia="Arial" w:hAnsi="Arial"/>
          <w:sz w:val="13"/>
          <w:szCs w:val="13"/>
          <w:color w:val="auto"/>
        </w:rPr>
      </w:pPr>
      <w:r>
        <w:rPr>
          <w:rFonts w:ascii="Arial" w:cs="Arial" w:eastAsia="Arial" w:hAnsi="Arial"/>
          <w:sz w:val="13"/>
          <w:szCs w:val="13"/>
          <w:i w:val="1"/>
          <w:iCs w:val="1"/>
          <w:color w:val="auto"/>
        </w:rPr>
        <w:t xml:space="preserve">No Events Outside of the Ordinary Course </w:t>
      </w:r>
      <w:r>
        <w:rPr>
          <w:rFonts w:ascii="Arial" w:cs="Arial" w:eastAsia="Arial" w:hAnsi="Arial"/>
          <w:sz w:val="13"/>
          <w:szCs w:val="13"/>
          <w:color w:val="auto"/>
        </w:rPr>
        <w:t>Condition</w:t>
      </w:r>
    </w:p>
    <w:p>
      <w:pPr>
        <w:spacing w:after="0" w:line="87" w:lineRule="exact"/>
        <w:rPr>
          <w:rFonts w:ascii="Arial" w:cs="Arial" w:eastAsia="Arial" w:hAnsi="Arial"/>
          <w:sz w:val="13"/>
          <w:szCs w:val="13"/>
          <w:color w:val="auto"/>
        </w:rPr>
      </w:pPr>
    </w:p>
    <w:p>
      <w:pPr>
        <w:ind w:left="2320" w:hanging="299"/>
        <w:spacing w:after="0"/>
        <w:tabs>
          <w:tab w:leader="none" w:pos="2320" w:val="left"/>
        </w:tabs>
        <w:numPr>
          <w:ilvl w:val="2"/>
          <w:numId w:val="7"/>
        </w:numPr>
        <w:rPr>
          <w:rFonts w:ascii="Arial" w:cs="Arial" w:eastAsia="Arial" w:hAnsi="Arial"/>
          <w:sz w:val="13"/>
          <w:szCs w:val="13"/>
          <w:color w:val="auto"/>
        </w:rPr>
      </w:pPr>
      <w:r>
        <w:rPr>
          <w:rFonts w:ascii="Arial" w:cs="Arial" w:eastAsia="Arial" w:hAnsi="Arial"/>
          <w:sz w:val="13"/>
          <w:szCs w:val="13"/>
          <w:i w:val="1"/>
          <w:iCs w:val="1"/>
          <w:color w:val="auto"/>
        </w:rPr>
        <w:t xml:space="preserve">No Competing Offer </w:t>
      </w:r>
      <w:r>
        <w:rPr>
          <w:rFonts w:ascii="Arial" w:cs="Arial" w:eastAsia="Arial" w:hAnsi="Arial"/>
          <w:sz w:val="13"/>
          <w:szCs w:val="13"/>
          <w:color w:val="auto"/>
        </w:rPr>
        <w:t>Condition</w:t>
      </w:r>
    </w:p>
    <w:p>
      <w:pPr>
        <w:spacing w:after="0" w:line="87" w:lineRule="exact"/>
        <w:rPr>
          <w:rFonts w:ascii="Arial" w:cs="Arial" w:eastAsia="Arial" w:hAnsi="Arial"/>
          <w:sz w:val="13"/>
          <w:szCs w:val="13"/>
          <w:color w:val="auto"/>
        </w:rPr>
      </w:pPr>
    </w:p>
    <w:p>
      <w:pPr>
        <w:ind w:left="2320" w:hanging="299"/>
        <w:spacing w:after="0"/>
        <w:tabs>
          <w:tab w:leader="none" w:pos="2320" w:val="left"/>
        </w:tabs>
        <w:numPr>
          <w:ilvl w:val="2"/>
          <w:numId w:val="7"/>
        </w:numPr>
        <w:rPr>
          <w:rFonts w:ascii="Arial" w:cs="Arial" w:eastAsia="Arial" w:hAnsi="Arial"/>
          <w:sz w:val="13"/>
          <w:szCs w:val="13"/>
          <w:color w:val="auto"/>
        </w:rPr>
      </w:pPr>
      <w:r>
        <w:rPr>
          <w:rFonts w:ascii="Arial" w:cs="Arial" w:eastAsia="Arial" w:hAnsi="Arial"/>
          <w:sz w:val="13"/>
          <w:szCs w:val="13"/>
          <w:i w:val="1"/>
          <w:iCs w:val="1"/>
          <w:color w:val="auto"/>
        </w:rPr>
        <w:t xml:space="preserve">Rights Plan </w:t>
      </w:r>
      <w:r>
        <w:rPr>
          <w:rFonts w:ascii="Arial" w:cs="Arial" w:eastAsia="Arial" w:hAnsi="Arial"/>
          <w:sz w:val="13"/>
          <w:szCs w:val="13"/>
          <w:color w:val="auto"/>
        </w:rPr>
        <w:t>Condition</w:t>
      </w:r>
    </w:p>
    <w:p>
      <w:pPr>
        <w:spacing w:after="0" w:line="87" w:lineRule="exact"/>
        <w:rPr>
          <w:rFonts w:ascii="Arial" w:cs="Arial" w:eastAsia="Arial" w:hAnsi="Arial"/>
          <w:sz w:val="13"/>
          <w:szCs w:val="13"/>
          <w:color w:val="auto"/>
        </w:rPr>
      </w:pPr>
    </w:p>
    <w:p>
      <w:pPr>
        <w:ind w:left="2320" w:hanging="299"/>
        <w:spacing w:after="0"/>
        <w:tabs>
          <w:tab w:leader="none" w:pos="2320" w:val="left"/>
        </w:tabs>
        <w:numPr>
          <w:ilvl w:val="2"/>
          <w:numId w:val="7"/>
        </w:numPr>
        <w:rPr>
          <w:rFonts w:ascii="Arial" w:cs="Arial" w:eastAsia="Arial" w:hAnsi="Arial"/>
          <w:sz w:val="13"/>
          <w:szCs w:val="13"/>
          <w:color w:val="auto"/>
        </w:rPr>
      </w:pPr>
      <w:r>
        <w:rPr>
          <w:rFonts w:ascii="Arial" w:cs="Arial" w:eastAsia="Arial" w:hAnsi="Arial"/>
          <w:sz w:val="13"/>
          <w:szCs w:val="13"/>
          <w:i w:val="1"/>
          <w:iCs w:val="1"/>
          <w:color w:val="auto"/>
        </w:rPr>
        <w:t xml:space="preserve">Dominant Stockholder </w:t>
      </w:r>
      <w:r>
        <w:rPr>
          <w:rFonts w:ascii="Arial" w:cs="Arial" w:eastAsia="Arial" w:hAnsi="Arial"/>
          <w:sz w:val="13"/>
          <w:szCs w:val="13"/>
          <w:color w:val="auto"/>
        </w:rPr>
        <w:t>Condition</w:t>
      </w:r>
    </w:p>
    <w:p>
      <w:pPr>
        <w:spacing w:after="0" w:line="87" w:lineRule="exact"/>
        <w:rPr>
          <w:rFonts w:ascii="Arial" w:cs="Arial" w:eastAsia="Arial" w:hAnsi="Arial"/>
          <w:sz w:val="13"/>
          <w:szCs w:val="13"/>
          <w:color w:val="auto"/>
        </w:rPr>
      </w:pPr>
    </w:p>
    <w:p>
      <w:pPr>
        <w:ind w:left="2320" w:hanging="299"/>
        <w:spacing w:after="0"/>
        <w:tabs>
          <w:tab w:leader="none" w:pos="2320" w:val="left"/>
        </w:tabs>
        <w:numPr>
          <w:ilvl w:val="2"/>
          <w:numId w:val="7"/>
        </w:numPr>
        <w:rPr>
          <w:rFonts w:ascii="Arial" w:cs="Arial" w:eastAsia="Arial" w:hAnsi="Arial"/>
          <w:sz w:val="13"/>
          <w:szCs w:val="13"/>
          <w:color w:val="auto"/>
        </w:rPr>
      </w:pPr>
      <w:r>
        <w:rPr>
          <w:rFonts w:ascii="Arial" w:cs="Arial" w:eastAsia="Arial" w:hAnsi="Arial"/>
          <w:sz w:val="13"/>
          <w:szCs w:val="13"/>
          <w:i w:val="1"/>
          <w:iCs w:val="1"/>
          <w:color w:val="auto"/>
        </w:rPr>
        <w:t xml:space="preserve">Equity </w:t>
      </w:r>
      <w:r>
        <w:rPr>
          <w:rFonts w:ascii="Arial" w:cs="Arial" w:eastAsia="Arial" w:hAnsi="Arial"/>
          <w:sz w:val="13"/>
          <w:szCs w:val="13"/>
          <w:color w:val="auto"/>
        </w:rPr>
        <w:t>Condition</w:t>
      </w:r>
    </w:p>
    <w:p>
      <w:pPr>
        <w:spacing w:after="0" w:line="83" w:lineRule="exact"/>
        <w:rPr>
          <w:rFonts w:ascii="Arial" w:cs="Arial" w:eastAsia="Arial" w:hAnsi="Arial"/>
          <w:sz w:val="13"/>
          <w:szCs w:val="13"/>
          <w:color w:val="auto"/>
        </w:rPr>
      </w:pPr>
    </w:p>
    <w:p>
      <w:pPr>
        <w:ind w:left="1320" w:hanging="303"/>
        <w:spacing w:after="0"/>
        <w:tabs>
          <w:tab w:leader="none" w:pos="1320" w:val="left"/>
        </w:tabs>
        <w:numPr>
          <w:ilvl w:val="0"/>
          <w:numId w:val="7"/>
        </w:numPr>
        <w:rPr>
          <w:rFonts w:ascii="Arial" w:cs="Arial" w:eastAsia="Arial" w:hAnsi="Arial"/>
          <w:sz w:val="12"/>
          <w:szCs w:val="12"/>
          <w:color w:val="auto"/>
        </w:rPr>
      </w:pPr>
      <w:r>
        <w:rPr>
          <w:rFonts w:ascii="Arial" w:cs="Arial" w:eastAsia="Arial" w:hAnsi="Arial"/>
          <w:sz w:val="12"/>
          <w:szCs w:val="12"/>
          <w:b w:val="1"/>
          <w:bCs w:val="1"/>
          <w:color w:val="auto"/>
        </w:rPr>
        <w:t>Mr. Icahn’s Offer is highly illusory and it is very unlikely that stockholders will ever receive any Offer consideration.</w:t>
      </w:r>
    </w:p>
    <w:p>
      <w:pPr>
        <w:spacing w:after="0" w:line="102" w:lineRule="exact"/>
        <w:rPr>
          <w:rFonts w:ascii="Arial" w:cs="Arial" w:eastAsia="Arial" w:hAnsi="Arial"/>
          <w:sz w:val="12"/>
          <w:szCs w:val="12"/>
          <w:color w:val="auto"/>
        </w:rPr>
      </w:pPr>
    </w:p>
    <w:p>
      <w:pPr>
        <w:ind w:left="2100" w:right="799" w:hanging="382"/>
        <w:spacing w:after="0" w:line="302" w:lineRule="auto"/>
        <w:tabs>
          <w:tab w:leader="none" w:pos="2100" w:val="left"/>
        </w:tabs>
        <w:numPr>
          <w:ilvl w:val="1"/>
          <w:numId w:val="7"/>
        </w:numPr>
        <w:rPr>
          <w:rFonts w:ascii="Arial" w:cs="Arial" w:eastAsia="Arial" w:hAnsi="Arial"/>
          <w:sz w:val="12"/>
          <w:szCs w:val="12"/>
          <w:color w:val="auto"/>
        </w:rPr>
      </w:pPr>
      <w:r>
        <w:rPr>
          <w:rFonts w:ascii="Arial" w:cs="Arial" w:eastAsia="Arial" w:hAnsi="Arial"/>
          <w:sz w:val="12"/>
          <w:szCs w:val="12"/>
          <w:color w:val="auto"/>
        </w:rPr>
        <w:t>The Offer is highly conditional and illusory, and therefore stockholders should not be deceived into thinking that they are likely to receive the Offer consideration on the initial Expiration Date of December 27, 2021—if ever.</w:t>
      </w:r>
    </w:p>
    <w:p>
      <w:pPr>
        <w:spacing w:after="0" w:line="41" w:lineRule="exact"/>
        <w:rPr>
          <w:rFonts w:ascii="Arial" w:cs="Arial" w:eastAsia="Arial" w:hAnsi="Arial"/>
          <w:sz w:val="12"/>
          <w:szCs w:val="12"/>
          <w:color w:val="auto"/>
        </w:rPr>
      </w:pPr>
    </w:p>
    <w:p>
      <w:pPr>
        <w:ind w:left="2100" w:right="819" w:hanging="382"/>
        <w:spacing w:after="0" w:line="261" w:lineRule="auto"/>
        <w:tabs>
          <w:tab w:leader="none" w:pos="2100" w:val="left"/>
        </w:tabs>
        <w:numPr>
          <w:ilvl w:val="1"/>
          <w:numId w:val="7"/>
        </w:numPr>
        <w:rPr>
          <w:rFonts w:ascii="Arial" w:cs="Arial" w:eastAsia="Arial" w:hAnsi="Arial"/>
          <w:sz w:val="13"/>
          <w:szCs w:val="13"/>
          <w:color w:val="auto"/>
        </w:rPr>
      </w:pPr>
      <w:r>
        <w:rPr>
          <w:rFonts w:ascii="Arial" w:cs="Arial" w:eastAsia="Arial" w:hAnsi="Arial"/>
          <w:sz w:val="13"/>
          <w:szCs w:val="13"/>
          <w:color w:val="auto"/>
        </w:rPr>
        <w:t xml:space="preserve">In particular, Mr. Icahn has made his Offer subject to the </w:t>
      </w:r>
      <w:r>
        <w:rPr>
          <w:rFonts w:ascii="Arial" w:cs="Arial" w:eastAsia="Arial" w:hAnsi="Arial"/>
          <w:sz w:val="13"/>
          <w:szCs w:val="13"/>
          <w:i w:val="1"/>
          <w:iCs w:val="1"/>
          <w:color w:val="auto"/>
        </w:rPr>
        <w:t>Regulatory Approval</w:t>
      </w:r>
      <w:r>
        <w:rPr>
          <w:rFonts w:ascii="Arial" w:cs="Arial" w:eastAsia="Arial" w:hAnsi="Arial"/>
          <w:sz w:val="13"/>
          <w:szCs w:val="13"/>
          <w:color w:val="auto"/>
        </w:rPr>
        <w:t xml:space="preserve"> Condition – and cannot acquire control of Southwest Gas without obtaining the necessary State regulatory approvals.</w:t>
      </w:r>
    </w:p>
    <w:p>
      <w:pPr>
        <w:spacing w:after="0" w:line="63" w:lineRule="exact"/>
        <w:rPr>
          <w:rFonts w:ascii="Arial" w:cs="Arial" w:eastAsia="Arial" w:hAnsi="Arial"/>
          <w:sz w:val="13"/>
          <w:szCs w:val="13"/>
          <w:color w:val="auto"/>
        </w:rPr>
      </w:pPr>
    </w:p>
    <w:p>
      <w:pPr>
        <w:ind w:left="2100" w:right="719" w:hanging="382"/>
        <w:spacing w:after="0" w:line="303" w:lineRule="auto"/>
        <w:tabs>
          <w:tab w:leader="none" w:pos="2100" w:val="left"/>
        </w:tabs>
        <w:numPr>
          <w:ilvl w:val="1"/>
          <w:numId w:val="7"/>
        </w:numPr>
        <w:rPr>
          <w:rFonts w:ascii="Arial" w:cs="Arial" w:eastAsia="Arial" w:hAnsi="Arial"/>
          <w:sz w:val="11"/>
          <w:szCs w:val="11"/>
          <w:color w:val="auto"/>
        </w:rPr>
      </w:pPr>
      <w:r>
        <w:rPr>
          <w:rFonts w:ascii="Arial" w:cs="Arial" w:eastAsia="Arial" w:hAnsi="Arial"/>
          <w:sz w:val="11"/>
          <w:szCs w:val="11"/>
          <w:color w:val="auto"/>
        </w:rPr>
        <w:t xml:space="preserve">Yet, Mr. Icahn does not provide any details about his plan to obtain the necessary approvals and does not commit in the Offer to take any actions to satisfy the </w:t>
      </w:r>
      <w:r>
        <w:rPr>
          <w:rFonts w:ascii="Arial" w:cs="Arial" w:eastAsia="Arial" w:hAnsi="Arial"/>
          <w:sz w:val="11"/>
          <w:szCs w:val="11"/>
          <w:i w:val="1"/>
          <w:iCs w:val="1"/>
          <w:color w:val="auto"/>
        </w:rPr>
        <w:t>Regulatory Approva</w:t>
      </w:r>
      <w:r>
        <w:rPr>
          <w:rFonts w:ascii="Arial" w:cs="Arial" w:eastAsia="Arial" w:hAnsi="Arial"/>
          <w:sz w:val="11"/>
          <w:szCs w:val="11"/>
          <w:color w:val="auto"/>
        </w:rPr>
        <w:t>l Condition. In fact, Mr. Icahn does not even provide the most basic details of what approvals he must obtain in each of the relevant jurisdictions to complete the Offer. Without even this most basic of information, stockholders can only guess as to what approvals Mr. Icahn must obtain, what his plans are to obtain such approvals, and the likelihood of satisfying the condition or the potential timing of satisfaction.</w:t>
      </w:r>
    </w:p>
    <w:p>
      <w:pPr>
        <w:spacing w:after="0" w:line="45" w:lineRule="exact"/>
        <w:rPr>
          <w:rFonts w:ascii="Arial" w:cs="Arial" w:eastAsia="Arial" w:hAnsi="Arial"/>
          <w:sz w:val="11"/>
          <w:szCs w:val="11"/>
          <w:color w:val="auto"/>
        </w:rPr>
      </w:pPr>
    </w:p>
    <w:p>
      <w:pPr>
        <w:ind w:left="2100" w:right="859" w:hanging="382"/>
        <w:spacing w:after="0" w:line="261" w:lineRule="auto"/>
        <w:tabs>
          <w:tab w:leader="none" w:pos="2100" w:val="left"/>
        </w:tabs>
        <w:numPr>
          <w:ilvl w:val="1"/>
          <w:numId w:val="7"/>
        </w:numPr>
        <w:rPr>
          <w:rFonts w:ascii="Arial" w:cs="Arial" w:eastAsia="Arial" w:hAnsi="Arial"/>
          <w:sz w:val="13"/>
          <w:szCs w:val="13"/>
          <w:color w:val="auto"/>
        </w:rPr>
      </w:pPr>
      <w:r>
        <w:rPr>
          <w:rFonts w:ascii="Arial" w:cs="Arial" w:eastAsia="Arial" w:hAnsi="Arial"/>
          <w:sz w:val="13"/>
          <w:szCs w:val="13"/>
          <w:color w:val="auto"/>
        </w:rPr>
        <w:t>Mr. Icahn must obtain regulatory approval to acquire more than 25% of Southwest Gas’ outstanding shares – an amount well below the 35% that Mr. Icahn has indicated he needs if he is to extend his Offer.</w:t>
      </w:r>
    </w:p>
    <w:p>
      <w:pPr>
        <w:spacing w:after="0" w:line="63" w:lineRule="exact"/>
        <w:rPr>
          <w:rFonts w:ascii="Arial" w:cs="Arial" w:eastAsia="Arial" w:hAnsi="Arial"/>
          <w:sz w:val="13"/>
          <w:szCs w:val="13"/>
          <w:color w:val="auto"/>
        </w:rPr>
      </w:pPr>
    </w:p>
    <w:p>
      <w:pPr>
        <w:ind w:left="2100" w:hanging="382"/>
        <w:spacing w:after="0"/>
        <w:tabs>
          <w:tab w:leader="none" w:pos="2100" w:val="left"/>
        </w:tabs>
        <w:numPr>
          <w:ilvl w:val="1"/>
          <w:numId w:val="7"/>
        </w:numPr>
        <w:rPr>
          <w:rFonts w:ascii="Arial" w:cs="Arial" w:eastAsia="Arial" w:hAnsi="Arial"/>
          <w:sz w:val="12"/>
          <w:szCs w:val="12"/>
          <w:color w:val="auto"/>
        </w:rPr>
      </w:pPr>
      <w:r>
        <w:rPr>
          <w:rFonts w:ascii="Arial" w:cs="Arial" w:eastAsia="Arial" w:hAnsi="Arial"/>
          <w:sz w:val="12"/>
          <w:szCs w:val="12"/>
          <w:color w:val="auto"/>
        </w:rPr>
        <w:t xml:space="preserve">Even if Mr. Icahn eventually satisfies the </w:t>
      </w:r>
      <w:r>
        <w:rPr>
          <w:rFonts w:ascii="Arial" w:cs="Arial" w:eastAsia="Arial" w:hAnsi="Arial"/>
          <w:sz w:val="12"/>
          <w:szCs w:val="12"/>
          <w:i w:val="1"/>
          <w:iCs w:val="1"/>
          <w:color w:val="auto"/>
        </w:rPr>
        <w:t>Regulatory Approval</w:t>
      </w:r>
      <w:r>
        <w:rPr>
          <w:rFonts w:ascii="Arial" w:cs="Arial" w:eastAsia="Arial" w:hAnsi="Arial"/>
          <w:sz w:val="12"/>
          <w:szCs w:val="12"/>
          <w:color w:val="auto"/>
        </w:rPr>
        <w:t xml:space="preserve"> Condition, the process could take up to 18 months.</w:t>
      </w:r>
    </w:p>
    <w:p>
      <w:pPr>
        <w:spacing w:after="0" w:line="94" w:lineRule="exact"/>
        <w:rPr>
          <w:rFonts w:ascii="Arial" w:cs="Arial" w:eastAsia="Arial" w:hAnsi="Arial"/>
          <w:sz w:val="12"/>
          <w:szCs w:val="12"/>
          <w:color w:val="auto"/>
        </w:rPr>
      </w:pPr>
    </w:p>
    <w:p>
      <w:pPr>
        <w:ind w:left="1320" w:hanging="303"/>
        <w:spacing w:after="0"/>
        <w:tabs>
          <w:tab w:leader="none" w:pos="1320" w:val="left"/>
        </w:tabs>
        <w:numPr>
          <w:ilvl w:val="0"/>
          <w:numId w:val="7"/>
        </w:numPr>
        <w:rPr>
          <w:rFonts w:ascii="Arial" w:cs="Arial" w:eastAsia="Arial" w:hAnsi="Arial"/>
          <w:sz w:val="13"/>
          <w:szCs w:val="13"/>
          <w:color w:val="auto"/>
        </w:rPr>
      </w:pPr>
      <w:r>
        <w:rPr>
          <w:rFonts w:ascii="Arial" w:cs="Arial" w:eastAsia="Arial" w:hAnsi="Arial"/>
          <w:sz w:val="13"/>
          <w:szCs w:val="13"/>
          <w:b w:val="1"/>
          <w:bCs w:val="1"/>
          <w:color w:val="auto"/>
        </w:rPr>
        <w:t>The Offer demonstrates that Mr. Icahn has no strategic plan for Southwest Gas if he acquires control.</w:t>
      </w:r>
    </w:p>
    <w:p>
      <w:pPr>
        <w:spacing w:after="0" w:line="91" w:lineRule="exact"/>
        <w:rPr>
          <w:rFonts w:ascii="Arial" w:cs="Arial" w:eastAsia="Arial" w:hAnsi="Arial"/>
          <w:sz w:val="13"/>
          <w:szCs w:val="13"/>
          <w:color w:val="auto"/>
        </w:rPr>
      </w:pPr>
    </w:p>
    <w:p>
      <w:pPr>
        <w:ind w:left="2100" w:right="779" w:hanging="382"/>
        <w:spacing w:after="0" w:line="261" w:lineRule="auto"/>
        <w:tabs>
          <w:tab w:leader="none" w:pos="2100" w:val="left"/>
        </w:tabs>
        <w:numPr>
          <w:ilvl w:val="1"/>
          <w:numId w:val="7"/>
        </w:numPr>
        <w:rPr>
          <w:rFonts w:ascii="Arial" w:cs="Arial" w:eastAsia="Arial" w:hAnsi="Arial"/>
          <w:sz w:val="13"/>
          <w:szCs w:val="13"/>
          <w:color w:val="auto"/>
        </w:rPr>
      </w:pPr>
      <w:r>
        <w:rPr>
          <w:rFonts w:ascii="Arial" w:cs="Arial" w:eastAsia="Arial" w:hAnsi="Arial"/>
          <w:sz w:val="13"/>
          <w:szCs w:val="13"/>
          <w:color w:val="auto"/>
        </w:rPr>
        <w:t>In connection with the Offer, Mr. Icahn states that he will continue to review “various possible business strategies” and, if he were to acquire control of the Company, “conduct a detailed review” of the Company.</w:t>
      </w:r>
    </w:p>
    <w:p>
      <w:pPr>
        <w:spacing w:after="0" w:line="63" w:lineRule="exact"/>
        <w:rPr>
          <w:rFonts w:ascii="Arial" w:cs="Arial" w:eastAsia="Arial" w:hAnsi="Arial"/>
          <w:sz w:val="13"/>
          <w:szCs w:val="13"/>
          <w:color w:val="auto"/>
        </w:rPr>
      </w:pPr>
    </w:p>
    <w:p>
      <w:pPr>
        <w:ind w:left="2100" w:hanging="382"/>
        <w:spacing w:after="0"/>
        <w:tabs>
          <w:tab w:leader="none" w:pos="2100" w:val="left"/>
        </w:tabs>
        <w:numPr>
          <w:ilvl w:val="1"/>
          <w:numId w:val="7"/>
        </w:numPr>
        <w:rPr>
          <w:rFonts w:ascii="Arial" w:cs="Arial" w:eastAsia="Arial" w:hAnsi="Arial"/>
          <w:sz w:val="13"/>
          <w:szCs w:val="13"/>
          <w:color w:val="auto"/>
        </w:rPr>
      </w:pPr>
      <w:r>
        <w:rPr>
          <w:rFonts w:ascii="Arial" w:cs="Arial" w:eastAsia="Arial" w:hAnsi="Arial"/>
          <w:sz w:val="13"/>
          <w:szCs w:val="13"/>
          <w:color w:val="auto"/>
        </w:rPr>
        <w:t>In short, Mr. Icahn admits he has not developed any strategic plan for operating Southwest Gas.</w:t>
      </w:r>
    </w:p>
    <w:p>
      <w:pPr>
        <w:spacing w:after="0" w:line="83" w:lineRule="exact"/>
        <w:rPr>
          <w:rFonts w:ascii="Arial" w:cs="Arial" w:eastAsia="Arial" w:hAnsi="Arial"/>
          <w:sz w:val="13"/>
          <w:szCs w:val="13"/>
          <w:color w:val="auto"/>
        </w:rPr>
      </w:pPr>
    </w:p>
    <w:p>
      <w:pPr>
        <w:ind w:left="1320" w:right="759" w:hanging="303"/>
        <w:spacing w:after="0" w:line="267" w:lineRule="auto"/>
        <w:tabs>
          <w:tab w:leader="none" w:pos="1320" w:val="left"/>
        </w:tabs>
        <w:numPr>
          <w:ilvl w:val="0"/>
          <w:numId w:val="7"/>
        </w:numPr>
        <w:rPr>
          <w:rFonts w:ascii="Arial" w:cs="Arial" w:eastAsia="Arial" w:hAnsi="Arial"/>
          <w:sz w:val="13"/>
          <w:szCs w:val="13"/>
          <w:color w:val="auto"/>
        </w:rPr>
      </w:pPr>
      <w:r>
        <w:rPr>
          <w:rFonts w:ascii="Arial" w:cs="Arial" w:eastAsia="Arial" w:hAnsi="Arial"/>
          <w:sz w:val="13"/>
          <w:szCs w:val="13"/>
          <w:b w:val="1"/>
          <w:bCs w:val="1"/>
          <w:color w:val="auto"/>
        </w:rPr>
        <w:t>The Offer is blatantly coercive and provides no protection for stockholders who do not tender. Mr. Icahn has a history of coercive actions towards minority stockholders.</w:t>
      </w:r>
    </w:p>
    <w:p>
      <w:pPr>
        <w:spacing w:after="0" w:line="59" w:lineRule="exact"/>
        <w:rPr>
          <w:rFonts w:ascii="Arial" w:cs="Arial" w:eastAsia="Arial" w:hAnsi="Arial"/>
          <w:sz w:val="13"/>
          <w:szCs w:val="13"/>
          <w:color w:val="auto"/>
        </w:rPr>
      </w:pPr>
    </w:p>
    <w:p>
      <w:pPr>
        <w:jc w:val="both"/>
        <w:ind w:left="2100" w:right="719" w:hanging="382"/>
        <w:spacing w:after="0" w:line="320" w:lineRule="auto"/>
        <w:tabs>
          <w:tab w:leader="none" w:pos="2100" w:val="left"/>
        </w:tabs>
        <w:numPr>
          <w:ilvl w:val="1"/>
          <w:numId w:val="7"/>
        </w:numPr>
        <w:rPr>
          <w:rFonts w:ascii="Arial" w:cs="Arial" w:eastAsia="Arial" w:hAnsi="Arial"/>
          <w:sz w:val="11"/>
          <w:szCs w:val="11"/>
          <w:color w:val="auto"/>
        </w:rPr>
      </w:pPr>
      <w:r>
        <w:rPr>
          <w:rFonts w:ascii="Arial" w:cs="Arial" w:eastAsia="Arial" w:hAnsi="Arial"/>
          <w:sz w:val="11"/>
          <w:szCs w:val="11"/>
          <w:color w:val="auto"/>
        </w:rPr>
        <w:t>Stockholders face the threat that if they do not tender into the Offer, and the Offer is subsequently consummated, they may find themselves as minority stockholders in a company with a new majority or controlling stockholder and an entirely new Board selected by Mr. Icahn, with no strategic direction yet articulated and facing default on significant debt.</w:t>
      </w:r>
    </w:p>
    <w:p>
      <w:pPr>
        <w:spacing w:after="0" w:line="34" w:lineRule="exact"/>
        <w:rPr>
          <w:rFonts w:ascii="Arial" w:cs="Arial" w:eastAsia="Arial" w:hAnsi="Arial"/>
          <w:sz w:val="11"/>
          <w:szCs w:val="11"/>
          <w:color w:val="auto"/>
        </w:rPr>
      </w:pPr>
    </w:p>
    <w:p>
      <w:pPr>
        <w:ind w:left="2100" w:right="999" w:hanging="382"/>
        <w:spacing w:after="0" w:line="261" w:lineRule="auto"/>
        <w:tabs>
          <w:tab w:leader="none" w:pos="2100" w:val="left"/>
        </w:tabs>
        <w:numPr>
          <w:ilvl w:val="1"/>
          <w:numId w:val="7"/>
        </w:numPr>
        <w:rPr>
          <w:rFonts w:ascii="Arial" w:cs="Arial" w:eastAsia="Arial" w:hAnsi="Arial"/>
          <w:sz w:val="13"/>
          <w:szCs w:val="13"/>
          <w:color w:val="auto"/>
        </w:rPr>
      </w:pPr>
      <w:r>
        <w:rPr>
          <w:rFonts w:ascii="Arial" w:cs="Arial" w:eastAsia="Arial" w:hAnsi="Arial"/>
          <w:sz w:val="13"/>
          <w:szCs w:val="13"/>
          <w:color w:val="auto"/>
        </w:rPr>
        <w:t>Mr. Icahn makes no mention of any intention to effect a second step merger or otherwise offer terms or protections to remaining stockholders.</w:t>
      </w:r>
    </w:p>
    <w:p>
      <w:pPr>
        <w:spacing w:after="0" w:line="63" w:lineRule="exact"/>
        <w:rPr>
          <w:rFonts w:ascii="Arial" w:cs="Arial" w:eastAsia="Arial" w:hAnsi="Arial"/>
          <w:sz w:val="13"/>
          <w:szCs w:val="13"/>
          <w:color w:val="auto"/>
        </w:rPr>
      </w:pPr>
    </w:p>
    <w:p>
      <w:pPr>
        <w:ind w:left="2100" w:right="719" w:hanging="382"/>
        <w:spacing w:after="0" w:line="252" w:lineRule="auto"/>
        <w:tabs>
          <w:tab w:leader="none" w:pos="2100" w:val="left"/>
        </w:tabs>
        <w:numPr>
          <w:ilvl w:val="1"/>
          <w:numId w:val="7"/>
        </w:numPr>
        <w:rPr>
          <w:rFonts w:ascii="Arial" w:cs="Arial" w:eastAsia="Arial" w:hAnsi="Arial"/>
          <w:sz w:val="13"/>
          <w:szCs w:val="13"/>
          <w:color w:val="auto"/>
        </w:rPr>
      </w:pPr>
      <w:r>
        <w:rPr>
          <w:rFonts w:ascii="Arial" w:cs="Arial" w:eastAsia="Arial" w:hAnsi="Arial"/>
          <w:sz w:val="13"/>
          <w:szCs w:val="13"/>
          <w:color w:val="auto"/>
        </w:rPr>
        <w:t>Mr. Icahn has stated that, following the completion of the Offer, the Company may be delisted from the New York Stock Exchange and the remaining outstanding shares deregistered (in which case Southwest Gas would no longer be required to file reports with the SEC).</w:t>
      </w:r>
    </w:p>
    <w:p>
      <w:pPr>
        <w:sectPr>
          <w:pgSz w:w="11900" w:h="16838" w:orient="portrait"/>
          <w:cols w:equalWidth="0" w:num="1">
            <w:col w:w="9019"/>
          </w:cols>
          <w:pgMar w:left="1440" w:top="235" w:right="1440" w:bottom="1440" w:gutter="0" w:footer="0" w:header="0"/>
        </w:sectPr>
      </w:pPr>
    </w:p>
    <w:bookmarkStart w:id="15" w:name="page16"/>
    <w:bookmarkEnd w:id="15"/>
    <w:p>
      <w:pPr>
        <w:ind w:left="2100" w:hanging="382"/>
        <w:spacing w:after="0"/>
        <w:tabs>
          <w:tab w:leader="none" w:pos="2100" w:val="left"/>
        </w:tabs>
        <w:numPr>
          <w:ilvl w:val="0"/>
          <w:numId w:val="8"/>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Using Mr. Icahn’s own words from his Offer, he states:</w:t>
      </w:r>
    </w:p>
    <w:p>
      <w:pPr>
        <w:spacing w:after="0" w:line="78" w:lineRule="exact"/>
        <w:rPr>
          <w:sz w:val="20"/>
          <w:szCs w:val="20"/>
          <w:color w:val="auto"/>
        </w:rPr>
      </w:pPr>
    </w:p>
    <w:p>
      <w:pPr>
        <w:ind w:left="2020" w:right="839"/>
        <w:spacing w:after="0" w:line="352" w:lineRule="auto"/>
        <w:rPr>
          <w:sz w:val="20"/>
          <w:szCs w:val="20"/>
          <w:color w:val="auto"/>
        </w:rPr>
      </w:pPr>
      <w:r>
        <w:rPr>
          <w:rFonts w:ascii="Arial" w:cs="Arial" w:eastAsia="Arial" w:hAnsi="Arial"/>
          <w:sz w:val="11"/>
          <w:szCs w:val="11"/>
          <w:color w:val="auto"/>
        </w:rPr>
        <w:t>“Depending upon the number of Shares purchased and the number of remaining holders of Shares, the purchase of Shares pursuant to the Offer may adversely affect the liquidity and market value of the remaining Shares held by the public.”</w:t>
      </w:r>
    </w:p>
    <w:p>
      <w:pPr>
        <w:spacing w:after="0" w:line="8" w:lineRule="exact"/>
        <w:rPr>
          <w:sz w:val="20"/>
          <w:szCs w:val="20"/>
          <w:color w:val="auto"/>
        </w:rPr>
      </w:pPr>
    </w:p>
    <w:p>
      <w:pPr>
        <w:ind w:left="2020"/>
        <w:spacing w:after="0"/>
        <w:rPr>
          <w:sz w:val="20"/>
          <w:szCs w:val="20"/>
          <w:color w:val="auto"/>
        </w:rPr>
      </w:pPr>
      <w:r>
        <w:rPr>
          <w:rFonts w:ascii="Arial" w:cs="Arial" w:eastAsia="Arial" w:hAnsi="Arial"/>
          <w:sz w:val="12"/>
          <w:szCs w:val="12"/>
          <w:color w:val="auto"/>
        </w:rPr>
        <w:t>These events would almost certainly lead to a substantial decline in value of the remaining outstanding shares.</w:t>
      </w:r>
    </w:p>
    <w:p>
      <w:pPr>
        <w:spacing w:after="0" w:line="313" w:lineRule="exact"/>
        <w:rPr>
          <w:sz w:val="20"/>
          <w:szCs w:val="20"/>
          <w:color w:val="auto"/>
        </w:rPr>
      </w:pPr>
    </w:p>
    <w:p>
      <w:pPr>
        <w:jc w:val="center"/>
        <w:ind w:left="2100" w:right="220"/>
        <w:spacing w:after="0" w:line="267" w:lineRule="auto"/>
        <w:rPr>
          <w:sz w:val="20"/>
          <w:szCs w:val="20"/>
          <w:color w:val="auto"/>
        </w:rPr>
      </w:pPr>
      <w:r>
        <w:rPr>
          <w:rFonts w:ascii="Arial" w:cs="Arial" w:eastAsia="Arial" w:hAnsi="Arial"/>
          <w:sz w:val="13"/>
          <w:szCs w:val="13"/>
          <w:b w:val="1"/>
          <w:bCs w:val="1"/>
          <w:color w:val="auto"/>
        </w:rPr>
        <w:t>YOUR BOARD REMAINS COMMITTED TO TAKING THE NECESSARY STEPS TO ENHANCE STOCKHOLDER VALUE AND POSITION THE COMPANY FOR LONG-TERM SUCCESS.</w:t>
      </w:r>
    </w:p>
    <w:p>
      <w:pPr>
        <w:spacing w:after="0" w:line="122" w:lineRule="exact"/>
        <w:rPr>
          <w:sz w:val="20"/>
          <w:szCs w:val="20"/>
          <w:color w:val="auto"/>
        </w:rPr>
      </w:pPr>
    </w:p>
    <w:p>
      <w:pPr>
        <w:ind w:left="640" w:right="1019"/>
        <w:spacing w:after="0" w:line="255" w:lineRule="auto"/>
        <w:rPr>
          <w:sz w:val="20"/>
          <w:szCs w:val="20"/>
          <w:color w:val="auto"/>
        </w:rPr>
      </w:pPr>
      <w:r>
        <w:rPr>
          <w:rFonts w:ascii="Arial" w:cs="Arial" w:eastAsia="Arial" w:hAnsi="Arial"/>
          <w:sz w:val="13"/>
          <w:szCs w:val="13"/>
          <w:color w:val="auto"/>
        </w:rPr>
        <w:t xml:space="preserve">While Mr. Icahn has offered an inadequate, self-serving and opportunistic proposal with dubious motivations, </w:t>
      </w:r>
      <w:r>
        <w:rPr>
          <w:rFonts w:ascii="Arial" w:cs="Arial" w:eastAsia="Arial" w:hAnsi="Arial"/>
          <w:sz w:val="13"/>
          <w:szCs w:val="13"/>
          <w:b w:val="1"/>
          <w:bCs w:val="1"/>
          <w:u w:val="single" w:color="auto"/>
          <w:color w:val="auto"/>
        </w:rPr>
        <w:t>the Southwest Gas Board and</w:t>
      </w:r>
      <w:r>
        <w:rPr>
          <w:rFonts w:ascii="Arial" w:cs="Arial" w:eastAsia="Arial" w:hAnsi="Arial"/>
          <w:sz w:val="13"/>
          <w:szCs w:val="13"/>
          <w:color w:val="auto"/>
        </w:rPr>
        <w:t xml:space="preserve"> </w:t>
      </w:r>
      <w:r>
        <w:rPr>
          <w:rFonts w:ascii="Arial" w:cs="Arial" w:eastAsia="Arial" w:hAnsi="Arial"/>
          <w:sz w:val="13"/>
          <w:szCs w:val="13"/>
          <w:b w:val="1"/>
          <w:bCs w:val="1"/>
          <w:u w:val="single" w:color="auto"/>
          <w:color w:val="auto"/>
        </w:rPr>
        <w:t>management team are executing a clear and detailed strategy to create value.</w:t>
      </w:r>
      <w:r>
        <w:rPr>
          <w:rFonts w:ascii="Arial" w:cs="Arial" w:eastAsia="Arial" w:hAnsi="Arial"/>
          <w:sz w:val="13"/>
          <w:szCs w:val="13"/>
          <w:b w:val="1"/>
          <w:bCs w:val="1"/>
          <w:color w:val="auto"/>
        </w:rPr>
        <w:t xml:space="preserve"> </w:t>
      </w:r>
      <w:r>
        <w:rPr>
          <w:rFonts w:ascii="Arial" w:cs="Arial" w:eastAsia="Arial" w:hAnsi="Arial"/>
          <w:sz w:val="13"/>
          <w:szCs w:val="13"/>
          <w:color w:val="auto"/>
        </w:rPr>
        <w:t>Your Board and management team remain committed to taking</w:t>
      </w:r>
      <w:r>
        <w:rPr>
          <w:rFonts w:ascii="Arial" w:cs="Arial" w:eastAsia="Arial" w:hAnsi="Arial"/>
          <w:sz w:val="13"/>
          <w:szCs w:val="13"/>
          <w:b w:val="1"/>
          <w:bCs w:val="1"/>
          <w:color w:val="auto"/>
        </w:rPr>
        <w:t xml:space="preserve"> </w:t>
      </w:r>
      <w:r>
        <w:rPr>
          <w:rFonts w:ascii="Arial" w:cs="Arial" w:eastAsia="Arial" w:hAnsi="Arial"/>
          <w:sz w:val="13"/>
          <w:szCs w:val="13"/>
          <w:color w:val="auto"/>
        </w:rPr>
        <w:t>actions consistent with their focus on long-term stockholder value creation.</w:t>
      </w:r>
    </w:p>
    <w:p>
      <w:pPr>
        <w:spacing w:after="0" w:line="134" w:lineRule="exact"/>
        <w:rPr>
          <w:sz w:val="20"/>
          <w:szCs w:val="20"/>
          <w:color w:val="auto"/>
        </w:rPr>
      </w:pPr>
    </w:p>
    <w:p>
      <w:pPr>
        <w:ind w:left="640" w:right="739"/>
        <w:spacing w:after="0" w:line="296" w:lineRule="auto"/>
        <w:rPr>
          <w:sz w:val="20"/>
          <w:szCs w:val="20"/>
          <w:color w:val="auto"/>
        </w:rPr>
      </w:pPr>
      <w:r>
        <w:rPr>
          <w:rFonts w:ascii="Arial" w:cs="Arial" w:eastAsia="Arial" w:hAnsi="Arial"/>
          <w:sz w:val="11"/>
          <w:szCs w:val="11"/>
          <w:color w:val="auto"/>
        </w:rPr>
        <w:t>Southwest Gas stockholders are encouraged to send a clear message to Mr. Icahn that you will not allow him to pursue his self-serving agenda and will not permit him to take control of Southwest Gas for a price below the Company’s value. Tendering into Mr. Icahn’s Offer would only encourage</w:t>
      </w:r>
    </w:p>
    <w:p>
      <w:pPr>
        <w:ind w:left="640" w:right="719"/>
        <w:spacing w:after="0" w:line="246" w:lineRule="auto"/>
        <w:rPr>
          <w:sz w:val="20"/>
          <w:szCs w:val="20"/>
          <w:color w:val="auto"/>
        </w:rPr>
      </w:pPr>
      <w:r>
        <w:rPr>
          <w:rFonts w:ascii="Arial" w:cs="Arial" w:eastAsia="Arial" w:hAnsi="Arial"/>
          <w:sz w:val="13"/>
          <w:szCs w:val="13"/>
          <w:color w:val="auto"/>
        </w:rPr>
        <w:t>Mr. Icahn in his opportunistic attempt to acquire Southwest Gas at the inadequate price of $75 per share – a price that is also contingent upon a long list of ambiguous and illusory requirements.</w:t>
      </w:r>
    </w:p>
    <w:p>
      <w:pPr>
        <w:spacing w:after="0" w:line="139" w:lineRule="exact"/>
        <w:rPr>
          <w:sz w:val="20"/>
          <w:szCs w:val="20"/>
          <w:color w:val="auto"/>
        </w:rPr>
      </w:pPr>
    </w:p>
    <w:p>
      <w:pPr>
        <w:ind w:left="640" w:right="679"/>
        <w:spacing w:after="0" w:line="252" w:lineRule="auto"/>
        <w:rPr>
          <w:sz w:val="20"/>
          <w:szCs w:val="20"/>
          <w:color w:val="auto"/>
        </w:rPr>
      </w:pPr>
      <w:r>
        <w:rPr>
          <w:rFonts w:ascii="Arial" w:cs="Arial" w:eastAsia="Arial" w:hAnsi="Arial"/>
          <w:sz w:val="13"/>
          <w:szCs w:val="13"/>
          <w:color w:val="auto"/>
        </w:rPr>
        <w:t xml:space="preserve">The enclosed Schedule 14D-9 contains a complete discussion of these and other significant factors contributing to your Board’s recommendation. For the reasons described above and in the enclosed Schedule 14D-9, </w:t>
      </w:r>
      <w:r>
        <w:rPr>
          <w:rFonts w:ascii="Arial" w:cs="Arial" w:eastAsia="Arial" w:hAnsi="Arial"/>
          <w:sz w:val="13"/>
          <w:szCs w:val="13"/>
          <w:b w:val="1"/>
          <w:bCs w:val="1"/>
          <w:u w:val="single" w:color="auto"/>
          <w:color w:val="auto"/>
        </w:rPr>
        <w:t>your Board unanimously recommends that you REJECT THE OFFER and NOT</w:t>
      </w:r>
      <w:r>
        <w:rPr>
          <w:rFonts w:ascii="Arial" w:cs="Arial" w:eastAsia="Arial" w:hAnsi="Arial"/>
          <w:sz w:val="13"/>
          <w:szCs w:val="13"/>
          <w:color w:val="auto"/>
        </w:rPr>
        <w:t xml:space="preserve"> </w:t>
      </w:r>
      <w:r>
        <w:rPr>
          <w:rFonts w:ascii="Arial" w:cs="Arial" w:eastAsia="Arial" w:hAnsi="Arial"/>
          <w:sz w:val="13"/>
          <w:szCs w:val="13"/>
          <w:b w:val="1"/>
          <w:bCs w:val="1"/>
          <w:u w:val="single" w:color="auto"/>
          <w:color w:val="auto"/>
        </w:rPr>
        <w:t>TENDER your shares pursuant to the Offer.</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2"/>
          <w:szCs w:val="12"/>
          <w:color w:val="auto"/>
        </w:rPr>
        <w:t>We urge stockholders to read the Schedule 14D-9 carefully and in its entirety so you will be fully informed as to your Board’s recommendation.</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Thank you for your continued support as we work to protect your investment and deliver enhanced stockholder value creation.</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145415</wp:posOffset>
            </wp:positionV>
            <wp:extent cx="1107440" cy="2889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07440" cy="28892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115570</wp:posOffset>
            </wp:positionV>
            <wp:extent cx="914400" cy="3187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14400" cy="318770"/>
                    </a:xfrm>
                    <a:prstGeom prst="rect">
                      <a:avLst/>
                    </a:prstGeom>
                    <a:noFill/>
                  </pic:spPr>
                </pic:pic>
              </a:graphicData>
            </a:graphic>
          </wp:anchor>
        </w:drawing>
      </w:r>
    </w:p>
    <w:p>
      <w:pPr>
        <w:sectPr>
          <w:pgSz w:w="11900" w:h="16838" w:orient="portrait"/>
          <w:cols w:equalWidth="0" w:num="1">
            <w:col w:w="9019"/>
          </w:cols>
          <w:pgMar w:left="1440" w:top="23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Michael J Melarkey</w:t>
      </w:r>
    </w:p>
    <w:p>
      <w:pPr>
        <w:spacing w:after="0" w:line="11" w:lineRule="exact"/>
        <w:rPr>
          <w:sz w:val="20"/>
          <w:szCs w:val="20"/>
          <w:color w:val="auto"/>
        </w:rPr>
      </w:pPr>
    </w:p>
    <w:p>
      <w:pPr>
        <w:ind w:left="640"/>
        <w:spacing w:after="0"/>
        <w:rPr>
          <w:sz w:val="20"/>
          <w:szCs w:val="20"/>
          <w:color w:val="auto"/>
        </w:rPr>
      </w:pPr>
      <w:r>
        <w:rPr>
          <w:rFonts w:ascii="Arial" w:cs="Arial" w:eastAsia="Arial" w:hAnsi="Arial"/>
          <w:sz w:val="11"/>
          <w:szCs w:val="11"/>
          <w:color w:val="auto"/>
        </w:rPr>
        <w:t>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3"/>
          <w:szCs w:val="13"/>
          <w:color w:val="auto"/>
        </w:rPr>
        <w:t>John P. Hester</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color w:val="auto"/>
        </w:rPr>
        <w:t>President and Chief Executive Officer</w:t>
      </w:r>
    </w:p>
    <w:p>
      <w:pPr>
        <w:sectPr>
          <w:pgSz w:w="11900" w:h="16838" w:orient="portrait"/>
          <w:cols w:equalWidth="0" w:num="2">
            <w:col w:w="3940" w:space="720"/>
            <w:col w:w="4359"/>
          </w:cols>
          <w:pgMar w:left="1440" w:top="235" w:right="1440" w:bottom="1440" w:gutter="0" w:footer="0" w:header="0"/>
          <w:type w:val="continuous"/>
        </w:sectPr>
      </w:pPr>
    </w:p>
    <w:bookmarkStart w:id="16" w:name="page17"/>
    <w:bookmarkEnd w:id="16"/>
    <w:p>
      <w:pPr>
        <w:jc w:val="center"/>
        <w:ind w:right="19"/>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086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0425" cy="508635"/>
                    </a:xfrm>
                    <a:prstGeom prst="rect">
                      <a:avLst/>
                    </a:prstGeom>
                    <a:noFill/>
                  </pic:spPr>
                </pic:pic>
              </a:graphicData>
            </a:graphic>
          </wp:anchor>
        </w:drawing>
        <w:t>If you have any questions regarding the Schedule 14D-9, please contact the</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Company’s Information Agent, Innisfree M&amp;A Incorporated, at:</w:t>
      </w:r>
    </w:p>
    <w:p>
      <w:pPr>
        <w:spacing w:after="0" w:line="2" w:lineRule="exact"/>
        <w:rPr>
          <w:sz w:val="20"/>
          <w:szCs w:val="20"/>
          <w:color w:val="auto"/>
        </w:rPr>
      </w:pPr>
    </w:p>
    <w:p>
      <w:pPr>
        <w:ind w:left="3440" w:right="3159" w:hanging="288"/>
        <w:spacing w:after="0" w:line="287" w:lineRule="auto"/>
        <w:tabs>
          <w:tab w:leader="none" w:pos="3456" w:val="left"/>
        </w:tabs>
        <w:numPr>
          <w:ilvl w:val="0"/>
          <w:numId w:val="9"/>
        </w:numPr>
        <w:rPr>
          <w:rFonts w:ascii="Arial" w:cs="Arial" w:eastAsia="Arial" w:hAnsi="Arial"/>
          <w:sz w:val="12"/>
          <w:szCs w:val="12"/>
          <w:color w:val="auto"/>
        </w:rPr>
      </w:pPr>
      <w:r>
        <w:rPr>
          <w:rFonts w:ascii="Arial" w:cs="Arial" w:eastAsia="Arial" w:hAnsi="Arial"/>
          <w:sz w:val="12"/>
          <w:szCs w:val="12"/>
          <w:color w:val="auto"/>
        </w:rPr>
        <w:t>825-8621 (toll free from the U.S. or Canada) or +1 (412) 232-3651 (from other locations).</w:t>
      </w:r>
    </w:p>
    <w:p>
      <w:pPr>
        <w:spacing w:after="0" w:line="163" w:lineRule="exact"/>
        <w:rPr>
          <w:sz w:val="20"/>
          <w:szCs w:val="20"/>
          <w:color w:val="auto"/>
        </w:rPr>
      </w:pPr>
    </w:p>
    <w:p>
      <w:pPr>
        <w:ind w:left="640" w:right="819"/>
        <w:spacing w:after="0" w:line="261" w:lineRule="auto"/>
        <w:rPr>
          <w:sz w:val="20"/>
          <w:szCs w:val="20"/>
          <w:color w:val="auto"/>
        </w:rPr>
      </w:pPr>
      <w:r>
        <w:rPr>
          <w:rFonts w:ascii="Arial" w:cs="Arial" w:eastAsia="Arial" w:hAnsi="Arial"/>
          <w:sz w:val="13"/>
          <w:szCs w:val="13"/>
          <w:color w:val="auto"/>
        </w:rPr>
        <w:t>Lazard and Moelis &amp; Company LLC are serving as financial advisors to Southwest Gas and Morrison &amp; Foerster LLP and Cravath, Swaine &amp; Moore LLP are serving as legal advisors.</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About Southwest Gas Holdings, Inc.</w:t>
      </w:r>
    </w:p>
    <w:p>
      <w:pPr>
        <w:spacing w:after="0" w:line="82" w:lineRule="exact"/>
        <w:rPr>
          <w:sz w:val="20"/>
          <w:szCs w:val="20"/>
          <w:color w:val="auto"/>
        </w:rPr>
      </w:pPr>
    </w:p>
    <w:p>
      <w:pPr>
        <w:ind w:left="640" w:right="679"/>
        <w:spacing w:after="0" w:line="309" w:lineRule="auto"/>
        <w:rPr>
          <w:sz w:val="20"/>
          <w:szCs w:val="20"/>
          <w:color w:val="auto"/>
        </w:rPr>
      </w:pPr>
      <w:r>
        <w:rPr>
          <w:rFonts w:ascii="Arial" w:cs="Arial" w:eastAsia="Arial" w:hAnsi="Arial"/>
          <w:sz w:val="11"/>
          <w:szCs w:val="11"/>
          <w:color w:val="auto"/>
        </w:rPr>
        <w:t>Southwest Gas Holdings, Inc., through its subsidiaries, engages in the business of purchasing, distributing and transporting natural gas, and providing comprehensive utility infrastructure services across North America. Southwest Gas Corporation, a wholly owned subsidiary, safely and reliably delivers natural gas to over two million customers in Arizona, California and Nevada. Centuri Group, Inc., a wholly owned subsidiary, is a comprehensive utility infrastructure services enterprise dedicated to delivering a diverse array of solutions to North America’s gas and electric providers.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How to Find Further Information</w:t>
      </w:r>
    </w:p>
    <w:p>
      <w:pPr>
        <w:spacing w:after="0" w:line="82" w:lineRule="exact"/>
        <w:rPr>
          <w:sz w:val="20"/>
          <w:szCs w:val="20"/>
          <w:color w:val="auto"/>
        </w:rPr>
      </w:pPr>
    </w:p>
    <w:p>
      <w:pPr>
        <w:ind w:left="640" w:right="679"/>
        <w:spacing w:after="0" w:line="267" w:lineRule="auto"/>
        <w:rPr>
          <w:sz w:val="20"/>
          <w:szCs w:val="20"/>
          <w:color w:val="auto"/>
        </w:rPr>
      </w:pPr>
      <w:r>
        <w:rPr>
          <w:rFonts w:ascii="Arial" w:cs="Arial" w:eastAsia="Arial" w:hAnsi="Arial"/>
          <w:sz w:val="12"/>
          <w:szCs w:val="12"/>
          <w:color w:val="auto"/>
        </w:rPr>
        <w:t xml:space="preserve">This communication does not constitute a solicitation of any vote or approval in connection with the 2022 annual meeting of stockholders of Southwest Gas Holdings, Inc. (the “Company”) (the “Annual Meeting”). In connection with the Annual Meeting, the Company will file a proxy statement with the U.S. Securities and Exchange Commission (“SEC”), which the Company will furnish, with any other relevant information or documents, to its stockholders in connection with the Annual Meeting. BEFORE MAKING ANY VOTING DECISION, WE URGE STOCKHOLDERS TO READ THE PROXY STATEMENT (INCLUDING ALL AMENDMENTS AND SUPPLEMENTS THERETO) AND OTHER DOCUMENTS WHEN SUCH INFORMATION IS FILED WITH THE SEC CAREFULLY AND IN THEIR ENTIRETY WHEN THEY BECOME AVAILABLE, BECAUSE THEY WILL CONTAIN IMPORTANT INFORMATION ABOUT THE COMPANY AND THE ANNUAL MEETING. The proposals for the Annual Meeting will be made solely through the proxy statement. In addition, a copy of the proxy statement (when it becomes available) may be obtained free of charge from </w:t>
      </w:r>
      <w:r>
        <w:rPr>
          <w:rFonts w:ascii="Arial" w:cs="Arial" w:eastAsia="Arial" w:hAnsi="Arial"/>
          <w:sz w:val="12"/>
          <w:szCs w:val="12"/>
          <w:u w:val="single" w:color="auto"/>
          <w:color w:val="auto"/>
        </w:rPr>
        <w:t>www.swgasholdings.com/proxymaterials</w:t>
      </w:r>
      <w:r>
        <w:rPr>
          <w:rFonts w:ascii="Arial" w:cs="Arial" w:eastAsia="Arial" w:hAnsi="Arial"/>
          <w:sz w:val="12"/>
          <w:szCs w:val="12"/>
          <w:color w:val="auto"/>
        </w:rPr>
        <w:t xml:space="preserve">. Security holders also will be able to obtain, free of charge, copies of the proxy statement and any other documents filed by Company with the SEC in connection with the Annual Meeting at the SEC’s website at http://www.sec.gov, and at the companies’ website at </w:t>
      </w:r>
      <w:r>
        <w:rPr>
          <w:rFonts w:ascii="Arial" w:cs="Arial" w:eastAsia="Arial" w:hAnsi="Arial"/>
          <w:sz w:val="12"/>
          <w:szCs w:val="12"/>
          <w:u w:val="single" w:color="auto"/>
          <w:color w:val="auto"/>
        </w:rPr>
        <w:t>www.swgasholdings.com</w:t>
      </w:r>
      <w:r>
        <w:rPr>
          <w:rFonts w:ascii="Arial" w:cs="Arial" w:eastAsia="Arial" w:hAnsi="Arial"/>
          <w:sz w:val="12"/>
          <w:szCs w:val="12"/>
          <w:color w:val="auto"/>
        </w:rPr>
        <w:t>.</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Important Information for Investors and Stockholders</w:t>
      </w:r>
    </w:p>
    <w:p>
      <w:pPr>
        <w:spacing w:after="0" w:line="82" w:lineRule="exact"/>
        <w:rPr>
          <w:sz w:val="20"/>
          <w:szCs w:val="20"/>
          <w:color w:val="auto"/>
        </w:rPr>
      </w:pPr>
    </w:p>
    <w:p>
      <w:pPr>
        <w:ind w:left="640" w:right="739"/>
        <w:spacing w:after="0" w:line="298" w:lineRule="auto"/>
        <w:rPr>
          <w:sz w:val="20"/>
          <w:szCs w:val="20"/>
          <w:color w:val="auto"/>
        </w:rPr>
      </w:pPr>
      <w:r>
        <w:rPr>
          <w:rFonts w:ascii="Arial" w:cs="Arial" w:eastAsia="Arial" w:hAnsi="Arial"/>
          <w:sz w:val="11"/>
          <w:szCs w:val="11"/>
          <w:color w:val="auto"/>
        </w:rPr>
        <w:t xml:space="preserve">This communication does not constitute an offer to buy or solicitation of an offer to sell any securities. In response to the tender offer for the shares of the Company commenced by IEP Utility Holdings LLC and Icahn Enterprises Holdings L.P., the Company has filed a solicitation/recommendation statement on Schedule 14D-9 with the SEC. INVESTORS AND STOCKHOLDERS OF SOUTHWEST GAS HOLDINGS ARE URGED TO READ THE SOLICITATION/RECOMMENDATION STATEMENT AND OTHER DOCUMENTS FILED WITH THE SEC CAREFULLY IN THEIR ENTIRETY BECAUSE THEY WILL CONTAIN IMPORTANT INFORMATION. Investors and stockholders may obtain a free copy of these documents free of charge at the SEC’s website at </w:t>
      </w:r>
      <w:r>
        <w:rPr>
          <w:rFonts w:ascii="Arial" w:cs="Arial" w:eastAsia="Arial" w:hAnsi="Arial"/>
          <w:sz w:val="11"/>
          <w:szCs w:val="11"/>
          <w:u w:val="single" w:color="auto"/>
          <w:color w:val="auto"/>
        </w:rPr>
        <w:t>www.sec.gov</w:t>
      </w:r>
      <w:r>
        <w:rPr>
          <w:rFonts w:ascii="Arial" w:cs="Arial" w:eastAsia="Arial" w:hAnsi="Arial"/>
          <w:sz w:val="11"/>
          <w:szCs w:val="11"/>
          <w:color w:val="auto"/>
        </w:rPr>
        <w:t xml:space="preserve">, and at the Company’s website at </w:t>
      </w:r>
      <w:r>
        <w:rPr>
          <w:rFonts w:ascii="Arial" w:cs="Arial" w:eastAsia="Arial" w:hAnsi="Arial"/>
          <w:sz w:val="11"/>
          <w:szCs w:val="11"/>
          <w:u w:val="single" w:color="auto"/>
          <w:color w:val="auto"/>
        </w:rPr>
        <w:t>www.swgasholdings.com</w:t>
      </w:r>
      <w:r>
        <w:rPr>
          <w:rFonts w:ascii="Arial" w:cs="Arial" w:eastAsia="Arial" w:hAnsi="Arial"/>
          <w:sz w:val="11"/>
          <w:szCs w:val="11"/>
          <w:color w:val="auto"/>
        </w:rPr>
        <w:t>. In addition, copies of these materials may be requested from the Company’s information agent, Innisfree M&amp;A Incorporated, toll-free at (877) 825-8621.</w:t>
      </w:r>
    </w:p>
    <w:p>
      <w:pPr>
        <w:sectPr>
          <w:pgSz w:w="11900" w:h="16838" w:orient="portrait"/>
          <w:cols w:equalWidth="0" w:num="1">
            <w:col w:w="9019"/>
          </w:cols>
          <w:pgMar w:left="1440" w:top="273" w:right="1440" w:bottom="1440" w:gutter="0" w:footer="0" w:header="0"/>
        </w:sectPr>
      </w:pPr>
    </w:p>
    <w:bookmarkStart w:id="17" w:name="page18"/>
    <w:bookmarkEnd w:id="17"/>
    <w:p>
      <w:pPr>
        <w:ind w:left="6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Forward-Looking Statements</w:t>
      </w:r>
    </w:p>
    <w:p>
      <w:pPr>
        <w:spacing w:after="0" w:line="82" w:lineRule="exact"/>
        <w:rPr>
          <w:sz w:val="20"/>
          <w:szCs w:val="20"/>
          <w:color w:val="auto"/>
        </w:rPr>
      </w:pPr>
    </w:p>
    <w:p>
      <w:pPr>
        <w:ind w:left="640" w:right="679"/>
        <w:spacing w:after="0" w:line="290" w:lineRule="auto"/>
        <w:rPr>
          <w:sz w:val="20"/>
          <w:szCs w:val="20"/>
          <w:color w:val="auto"/>
        </w:rPr>
      </w:pPr>
      <w:r>
        <w:rPr>
          <w:rFonts w:ascii="Arial" w:cs="Arial" w:eastAsia="Arial" w:hAnsi="Arial"/>
          <w:sz w:val="11"/>
          <w:szCs w:val="11"/>
          <w:color w:val="auto"/>
        </w:rPr>
        <w:t>This document contains forward-looking statements within the meaning of Section 27A of the Securities Act of 1933, as amended, and Section 21E of the Securities Exchange Act of 1934, as amended. These statements are based on current expectations, estimates and projections about, among others, the industry, markets in which Southwest Gas Holdings, Inc. (the “Company,” “Southwest Gas Holdings,” “SWX,” or “we”) operates, and the matters described in this press release. While the Company’s management believes the assumptions underlying its forward-looking statements and information are reasonable, such information is necessarily subject to uncertainties and may involve certain risks, many of which are difficult to predict and are beyond the control of the Company’s management. A number of important factors affecting the business and financial results of the Company could cause actual results to differ materially from those stated in the forward-looking statements. These factors include, but are not limited to, the timing and amount of rate relief, changes in rate design, customer growth rates, the effects of regulation/deregulation, tax reform and related regulatory decisions, the impacts of construction activity at Centuri, future earnings trends, seasonal patterns, and the impacts of stock market volatility. In addition, the Company can provide no assurance that its discussions about future operating margin, operating income, pension costs, COLI results, and capital expenditures of the natural gas segment will occur. Likewise, the Company can provide no assurance that discussions regarding utility infrastructure services segment revenues, operating income as a percentage of revenues, interest expense, and noncontrolling interest amounts will transpire, nor assurance regarding acquisitions or their impacts, including management’s plans related thereto, such as that currently planned in regard to Riggs Distler &amp; Company, Inc. and the pending acquisition of Dominion Energy Questar Pipeline, LLC and related entities (the “Questar Pipeline Group”). Additional risks include the occurrence of any event, change or other circumstances that could give rise to the termination of the Sale and Purchase Agreement by and between Dominion Energy Questar Corporation and the Company (the “Questar Purchase Agreement”), the outcome of any legal proceedings that may be instituted against the Company and others following announcement of the Questar Purchase Agreement, risks that the proposed transaction disrupts current plans and operations, the risks related to the ability of the Company to integrate the Questar Pipeline Group, the amount of the costs, fees, expenses and charges related to the transaction and the actual terms of certain financings that will be obtained for the transaction, potential negative impacts to the Company’s credit ratings as a result of the transaction, the disruption to the Company’s stock price and the costs, fees, expenses and charges related to, and the distraction of management’s attention in connection with, any proxy contest or other stockholder related or similar matters, as well as other risks that are set forth under “Risk Factors” in the Company’s Annual Report on Form 10-K for the year ended December 31, 2020, the Company’s Quarterly Reports on Form 10-Q for the quarter ended June 30, 2021 and September 30, 2021 and in future filings with the SEC. All forward-looking statements speak only as of the date of this press release. All subsequent written and oral forward-looking statements attributable to the Company or any person acting on its behalf are qualified by the cautionary statements in this section. The Company undertakes no obligation to update or publicly release any revisions to forward-looking statements to reflect events, circumstances or changes in expectations after the date of this press release.</w:t>
      </w:r>
    </w:p>
    <w:p>
      <w:pPr>
        <w:sectPr>
          <w:pgSz w:w="11900" w:h="16838" w:orient="portrait"/>
          <w:cols w:equalWidth="0" w:num="1">
            <w:col w:w="9019"/>
          </w:cols>
          <w:pgMar w:left="1440" w:top="231" w:right="1440" w:bottom="1440" w:gutter="0" w:footer="0" w:header="0"/>
        </w:sectPr>
      </w:pPr>
    </w:p>
    <w:bookmarkStart w:id="18" w:name="page19"/>
    <w:bookmarkEnd w:id="18"/>
    <w:p>
      <w:pPr>
        <w:ind w:left="6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Participants in the Solicitation</w:t>
      </w:r>
    </w:p>
    <w:p>
      <w:pPr>
        <w:spacing w:after="0" w:line="82" w:lineRule="exact"/>
        <w:rPr>
          <w:sz w:val="20"/>
          <w:szCs w:val="20"/>
          <w:color w:val="auto"/>
        </w:rPr>
      </w:pPr>
    </w:p>
    <w:p>
      <w:pPr>
        <w:ind w:left="640" w:right="739"/>
        <w:spacing w:after="0" w:line="273" w:lineRule="auto"/>
        <w:rPr>
          <w:sz w:val="20"/>
          <w:szCs w:val="20"/>
          <w:color w:val="auto"/>
        </w:rPr>
      </w:pPr>
      <w:r>
        <w:rPr>
          <w:rFonts w:ascii="Arial" w:cs="Arial" w:eastAsia="Arial" w:hAnsi="Arial"/>
          <w:sz w:val="12"/>
          <w:szCs w:val="12"/>
          <w:color w:val="auto"/>
        </w:rPr>
        <w:t>The directors and officers of the Company may be deemed to be participants in the solicitation of proxies in connection with the Annual Meeting. Information regarding the Company’s directors and officers and their respective interests in the Company by security holdings or otherwise is available in its most recent Annual Report on Form 10-K filed with the SEC and its most recent definitive Proxy Statement on Schedule 14A filed with the SEC. Additional information regarding the interests of such potential participants is or will be included in the proxy statement for the Annual Meeting and other relevant materials to be filed with the SEC, when they become available.</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Contacts</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For investor information, contact: Ken Kenny (702) 876-7237 ken.kenny@swgas.com; or</w:t>
      </w:r>
    </w:p>
    <w:p>
      <w:pPr>
        <w:spacing w:after="0" w:line="11" w:lineRule="exact"/>
        <w:rPr>
          <w:sz w:val="20"/>
          <w:szCs w:val="20"/>
          <w:color w:val="auto"/>
        </w:rPr>
      </w:pPr>
    </w:p>
    <w:p>
      <w:pPr>
        <w:ind w:left="640"/>
        <w:spacing w:after="0"/>
        <w:rPr>
          <w:sz w:val="20"/>
          <w:szCs w:val="20"/>
          <w:color w:val="auto"/>
        </w:rPr>
      </w:pPr>
      <w:r>
        <w:rPr>
          <w:rFonts w:ascii="Arial" w:cs="Arial" w:eastAsia="Arial" w:hAnsi="Arial"/>
          <w:sz w:val="13"/>
          <w:szCs w:val="13"/>
          <w:color w:val="auto"/>
        </w:rPr>
        <w:t>Innisfree M&amp;A Incorporated, Scott Winter/Jennifer Shotwell/Jon Salzberger, (212) 750-5833</w:t>
      </w:r>
    </w:p>
    <w:p>
      <w:pPr>
        <w:spacing w:after="0" w:line="145" w:lineRule="exact"/>
        <w:rPr>
          <w:sz w:val="20"/>
          <w:szCs w:val="20"/>
          <w:color w:val="auto"/>
        </w:rPr>
      </w:pPr>
    </w:p>
    <w:p>
      <w:pPr>
        <w:ind w:left="640" w:right="3779"/>
        <w:spacing w:after="0" w:line="352" w:lineRule="auto"/>
        <w:rPr>
          <w:sz w:val="20"/>
          <w:szCs w:val="20"/>
          <w:color w:val="auto"/>
        </w:rPr>
      </w:pPr>
      <w:r>
        <w:rPr>
          <w:rFonts w:ascii="Arial" w:cs="Arial" w:eastAsia="Arial" w:hAnsi="Arial"/>
          <w:sz w:val="11"/>
          <w:szCs w:val="11"/>
          <w:color w:val="auto"/>
        </w:rPr>
        <w:t>For media information, contact: Sean Corbett (702) 876-7219 sean.corbett@swgas.com; or Joele Frank, Wilkinson Brimmer Katcher, Dan Katcher / Tim Lynch, (212) 355-4449</w:t>
      </w:r>
    </w:p>
    <w:p>
      <w:pPr>
        <w:sectPr>
          <w:pgSz w:w="11900" w:h="16838" w:orient="portrait"/>
          <w:cols w:equalWidth="0" w:num="1">
            <w:col w:w="9019"/>
          </w:cols>
          <w:pgMar w:left="1440" w:top="231" w:right="1440" w:bottom="1440" w:gutter="0" w:footer="0" w:header="0"/>
        </w:sectPr>
      </w:pPr>
    </w:p>
    <w:bookmarkStart w:id="19" w:name="page20"/>
    <w:bookmarkEnd w:id="19"/>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35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right"/>
        <w:ind w:right="639"/>
        <w:spacing w:after="0"/>
        <w:rPr>
          <w:sz w:val="20"/>
          <w:szCs w:val="20"/>
          <w:color w:val="auto"/>
        </w:rPr>
      </w:pPr>
      <w:r>
        <w:rPr>
          <w:rFonts w:ascii="Arial" w:cs="Arial" w:eastAsia="Arial" w:hAnsi="Arial"/>
          <w:sz w:val="13"/>
          <w:szCs w:val="13"/>
          <w:b w:val="1"/>
          <w:bCs w:val="1"/>
          <w:color w:val="auto"/>
        </w:rPr>
        <w:t>Exhibit 99.4</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SWX 14D-9 Employee FAQ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33655</wp:posOffset>
            </wp:positionV>
            <wp:extent cx="4910455"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pacing w:after="0" w:line="143" w:lineRule="exact"/>
        <w:rPr>
          <w:sz w:val="20"/>
          <w:szCs w:val="20"/>
          <w:color w:val="auto"/>
        </w:rPr>
      </w:pPr>
    </w:p>
    <w:p>
      <w:pPr>
        <w:ind w:left="1320" w:hanging="379"/>
        <w:spacing w:after="0"/>
        <w:tabs>
          <w:tab w:leader="none" w:pos="1320" w:val="left"/>
        </w:tabs>
        <w:numPr>
          <w:ilvl w:val="0"/>
          <w:numId w:val="10"/>
        </w:numPr>
        <w:rPr>
          <w:rFonts w:ascii="Arial" w:cs="Arial" w:eastAsia="Arial" w:hAnsi="Arial"/>
          <w:sz w:val="13"/>
          <w:szCs w:val="13"/>
          <w:b w:val="1"/>
          <w:bCs w:val="1"/>
          <w:color w:val="auto"/>
        </w:rPr>
      </w:pPr>
      <w:r>
        <w:rPr>
          <w:rFonts w:ascii="Arial" w:cs="Arial" w:eastAsia="Arial" w:hAnsi="Arial"/>
          <w:sz w:val="13"/>
          <w:szCs w:val="13"/>
          <w:b w:val="1"/>
          <w:bCs w:val="1"/>
          <w:color w:val="auto"/>
        </w:rPr>
        <w:t>What is a tender offer?</w:t>
      </w:r>
    </w:p>
    <w:p>
      <w:pPr>
        <w:spacing w:after="0" w:line="91" w:lineRule="exact"/>
        <w:rPr>
          <w:rFonts w:ascii="Arial" w:cs="Arial" w:eastAsia="Arial" w:hAnsi="Arial"/>
          <w:sz w:val="13"/>
          <w:szCs w:val="13"/>
          <w:b w:val="1"/>
          <w:bCs w:val="1"/>
          <w:color w:val="auto"/>
        </w:rPr>
      </w:pPr>
    </w:p>
    <w:p>
      <w:pPr>
        <w:ind w:left="2100" w:right="799" w:hanging="382"/>
        <w:spacing w:after="0" w:line="252" w:lineRule="auto"/>
        <w:tabs>
          <w:tab w:leader="none" w:pos="2100" w:val="left"/>
        </w:tabs>
        <w:numPr>
          <w:ilvl w:val="1"/>
          <w:numId w:val="10"/>
        </w:numPr>
        <w:rPr>
          <w:rFonts w:ascii="Arial" w:cs="Arial" w:eastAsia="Arial" w:hAnsi="Arial"/>
          <w:sz w:val="13"/>
          <w:szCs w:val="13"/>
          <w:color w:val="auto"/>
        </w:rPr>
      </w:pPr>
      <w:r>
        <w:rPr>
          <w:rFonts w:ascii="Arial" w:cs="Arial" w:eastAsia="Arial" w:hAnsi="Arial"/>
          <w:sz w:val="13"/>
          <w:szCs w:val="13"/>
          <w:color w:val="auto"/>
        </w:rPr>
        <w:t>A tender offer is a public offer to buy stock of a corporation from its stockholders for a specified consideration within a stated time limit. A tender offer must comply with various laws, including the rules and regulations of the U.S. Securities and Exchange Commission (SEC).</w:t>
      </w:r>
    </w:p>
    <w:p>
      <w:pPr>
        <w:spacing w:after="0" w:line="69" w:lineRule="exact"/>
        <w:rPr>
          <w:rFonts w:ascii="Arial" w:cs="Arial" w:eastAsia="Arial" w:hAnsi="Arial"/>
          <w:sz w:val="13"/>
          <w:szCs w:val="13"/>
          <w:color w:val="auto"/>
        </w:rPr>
      </w:pPr>
    </w:p>
    <w:p>
      <w:pPr>
        <w:ind w:left="2100" w:right="799" w:hanging="382"/>
        <w:spacing w:after="0" w:line="261" w:lineRule="auto"/>
        <w:tabs>
          <w:tab w:leader="none" w:pos="2100" w:val="left"/>
        </w:tabs>
        <w:numPr>
          <w:ilvl w:val="1"/>
          <w:numId w:val="10"/>
        </w:numPr>
        <w:rPr>
          <w:rFonts w:ascii="Arial" w:cs="Arial" w:eastAsia="Arial" w:hAnsi="Arial"/>
          <w:sz w:val="13"/>
          <w:szCs w:val="13"/>
          <w:color w:val="auto"/>
        </w:rPr>
      </w:pPr>
      <w:r>
        <w:rPr>
          <w:rFonts w:ascii="Arial" w:cs="Arial" w:eastAsia="Arial" w:hAnsi="Arial"/>
          <w:sz w:val="13"/>
          <w:szCs w:val="13"/>
          <w:color w:val="auto"/>
        </w:rPr>
        <w:t>In this case, Carl Icahn is seeking to acquire shares of Southwest Gas Holdings common stock for $75.00 per share, in an effort to win control of the Company.</w:t>
      </w:r>
    </w:p>
    <w:p>
      <w:pPr>
        <w:spacing w:after="0" w:line="63" w:lineRule="exact"/>
        <w:rPr>
          <w:rFonts w:ascii="Arial" w:cs="Arial" w:eastAsia="Arial" w:hAnsi="Arial"/>
          <w:sz w:val="13"/>
          <w:szCs w:val="13"/>
          <w:color w:val="auto"/>
        </w:rPr>
      </w:pPr>
    </w:p>
    <w:p>
      <w:pPr>
        <w:ind w:left="2100" w:right="719" w:hanging="382"/>
        <w:spacing w:after="0" w:line="261" w:lineRule="auto"/>
        <w:tabs>
          <w:tab w:leader="none" w:pos="2100" w:val="left"/>
        </w:tabs>
        <w:numPr>
          <w:ilvl w:val="1"/>
          <w:numId w:val="10"/>
        </w:numPr>
        <w:rPr>
          <w:rFonts w:ascii="Arial" w:cs="Arial" w:eastAsia="Arial" w:hAnsi="Arial"/>
          <w:sz w:val="13"/>
          <w:szCs w:val="13"/>
          <w:color w:val="auto"/>
        </w:rPr>
      </w:pPr>
      <w:r>
        <w:rPr>
          <w:rFonts w:ascii="Arial" w:cs="Arial" w:eastAsia="Arial" w:hAnsi="Arial"/>
          <w:sz w:val="13"/>
          <w:szCs w:val="13"/>
          <w:i w:val="1"/>
          <w:iCs w:val="1"/>
          <w:u w:val="single" w:color="auto"/>
          <w:color w:val="auto"/>
        </w:rPr>
        <w:t>The Board of Directors recommends that stockholders REJECT THE OFFER and that you NOT TENDER your shares into the inadequate offer.</w:t>
      </w:r>
    </w:p>
    <w:p>
      <w:pPr>
        <w:spacing w:after="0" w:line="59" w:lineRule="exact"/>
        <w:rPr>
          <w:rFonts w:ascii="Arial" w:cs="Arial" w:eastAsia="Arial" w:hAnsi="Arial"/>
          <w:sz w:val="13"/>
          <w:szCs w:val="13"/>
          <w:color w:val="auto"/>
        </w:rPr>
      </w:pPr>
    </w:p>
    <w:p>
      <w:pPr>
        <w:ind w:left="1320" w:hanging="379"/>
        <w:spacing w:after="0"/>
        <w:tabs>
          <w:tab w:leader="none" w:pos="1320" w:val="left"/>
        </w:tabs>
        <w:numPr>
          <w:ilvl w:val="0"/>
          <w:numId w:val="10"/>
        </w:numPr>
        <w:rPr>
          <w:rFonts w:ascii="Arial" w:cs="Arial" w:eastAsia="Arial" w:hAnsi="Arial"/>
          <w:sz w:val="13"/>
          <w:szCs w:val="13"/>
          <w:b w:val="1"/>
          <w:bCs w:val="1"/>
          <w:color w:val="auto"/>
        </w:rPr>
      </w:pPr>
      <w:r>
        <w:rPr>
          <w:rFonts w:ascii="Arial" w:cs="Arial" w:eastAsia="Arial" w:hAnsi="Arial"/>
          <w:sz w:val="13"/>
          <w:szCs w:val="13"/>
          <w:b w:val="1"/>
          <w:bCs w:val="1"/>
          <w:color w:val="auto"/>
        </w:rPr>
        <w:t>Why is the Board rejecting Carl Icahn’s offer?</w:t>
      </w:r>
    </w:p>
    <w:p>
      <w:pPr>
        <w:spacing w:after="0" w:line="91" w:lineRule="exact"/>
        <w:rPr>
          <w:rFonts w:ascii="Arial" w:cs="Arial" w:eastAsia="Arial" w:hAnsi="Arial"/>
          <w:sz w:val="13"/>
          <w:szCs w:val="13"/>
          <w:b w:val="1"/>
          <w:bCs w:val="1"/>
          <w:color w:val="auto"/>
        </w:rPr>
      </w:pPr>
    </w:p>
    <w:p>
      <w:pPr>
        <w:ind w:left="2100" w:right="919" w:hanging="382"/>
        <w:spacing w:after="0" w:line="252" w:lineRule="auto"/>
        <w:tabs>
          <w:tab w:leader="none" w:pos="2100" w:val="left"/>
        </w:tabs>
        <w:numPr>
          <w:ilvl w:val="1"/>
          <w:numId w:val="10"/>
        </w:numPr>
        <w:rPr>
          <w:rFonts w:ascii="Arial" w:cs="Arial" w:eastAsia="Arial" w:hAnsi="Arial"/>
          <w:sz w:val="13"/>
          <w:szCs w:val="13"/>
          <w:color w:val="auto"/>
        </w:rPr>
      </w:pPr>
      <w:r>
        <w:rPr>
          <w:rFonts w:ascii="Arial" w:cs="Arial" w:eastAsia="Arial" w:hAnsi="Arial"/>
          <w:sz w:val="13"/>
          <w:szCs w:val="13"/>
          <w:color w:val="auto"/>
        </w:rPr>
        <w:t>Our Board thoroughly reviewed Mr. Icahn’s Offer, in consultation with its external financial and legal advisors, and unanimously determined that the Offer undervalues the Company, has no certainty of completion, and is not in the best interests of Southwest Gas stockholders.</w:t>
      </w:r>
    </w:p>
    <w:p>
      <w:pPr>
        <w:spacing w:after="0" w:line="69" w:lineRule="exact"/>
        <w:rPr>
          <w:rFonts w:ascii="Arial" w:cs="Arial" w:eastAsia="Arial" w:hAnsi="Arial"/>
          <w:sz w:val="13"/>
          <w:szCs w:val="13"/>
          <w:color w:val="auto"/>
        </w:rPr>
      </w:pPr>
    </w:p>
    <w:p>
      <w:pPr>
        <w:ind w:left="2100" w:right="779" w:hanging="382"/>
        <w:spacing w:after="0" w:line="302" w:lineRule="auto"/>
        <w:tabs>
          <w:tab w:leader="none" w:pos="2100" w:val="left"/>
        </w:tabs>
        <w:numPr>
          <w:ilvl w:val="1"/>
          <w:numId w:val="10"/>
        </w:numPr>
        <w:rPr>
          <w:rFonts w:ascii="Arial" w:cs="Arial" w:eastAsia="Arial" w:hAnsi="Arial"/>
          <w:sz w:val="12"/>
          <w:szCs w:val="12"/>
          <w:color w:val="auto"/>
        </w:rPr>
      </w:pPr>
      <w:r>
        <w:rPr>
          <w:rFonts w:ascii="Arial" w:cs="Arial" w:eastAsia="Arial" w:hAnsi="Arial"/>
          <w:sz w:val="12"/>
          <w:szCs w:val="12"/>
          <w:color w:val="auto"/>
        </w:rPr>
        <w:t>Under the oversight of our Board and management team, we have built a company that is poised for value creation across each of its businesses and the company as a whole and a strategic plan to drive long-term value.</w:t>
      </w:r>
    </w:p>
    <w:p>
      <w:pPr>
        <w:spacing w:after="0" w:line="41" w:lineRule="exact"/>
        <w:rPr>
          <w:rFonts w:ascii="Arial" w:cs="Arial" w:eastAsia="Arial" w:hAnsi="Arial"/>
          <w:sz w:val="12"/>
          <w:szCs w:val="12"/>
          <w:color w:val="auto"/>
        </w:rPr>
      </w:pPr>
    </w:p>
    <w:p>
      <w:pPr>
        <w:ind w:left="2100" w:right="679" w:hanging="382"/>
        <w:spacing w:after="0" w:line="252" w:lineRule="auto"/>
        <w:tabs>
          <w:tab w:leader="none" w:pos="2100" w:val="left"/>
        </w:tabs>
        <w:numPr>
          <w:ilvl w:val="1"/>
          <w:numId w:val="10"/>
        </w:numPr>
        <w:rPr>
          <w:rFonts w:ascii="Arial" w:cs="Arial" w:eastAsia="Arial" w:hAnsi="Arial"/>
          <w:sz w:val="13"/>
          <w:szCs w:val="13"/>
          <w:color w:val="auto"/>
        </w:rPr>
      </w:pPr>
      <w:r>
        <w:rPr>
          <w:rFonts w:ascii="Arial" w:cs="Arial" w:eastAsia="Arial" w:hAnsi="Arial"/>
          <w:sz w:val="13"/>
          <w:szCs w:val="13"/>
          <w:color w:val="auto"/>
        </w:rPr>
        <w:t>As the energy transition creates new opportunities, we remain well positioned for growth as we execute our strategy and remain focused on providing excellent service to our customers, opportunities to our employees, and growing returns to our stockholders.</w:t>
      </w:r>
    </w:p>
    <w:p>
      <w:pPr>
        <w:spacing w:after="0" w:line="69" w:lineRule="exact"/>
        <w:rPr>
          <w:rFonts w:ascii="Arial" w:cs="Arial" w:eastAsia="Arial" w:hAnsi="Arial"/>
          <w:sz w:val="13"/>
          <w:szCs w:val="13"/>
          <w:color w:val="auto"/>
        </w:rPr>
      </w:pPr>
    </w:p>
    <w:p>
      <w:pPr>
        <w:ind w:left="2100" w:hanging="382"/>
        <w:spacing w:after="0"/>
        <w:tabs>
          <w:tab w:leader="none" w:pos="2100" w:val="left"/>
        </w:tabs>
        <w:numPr>
          <w:ilvl w:val="1"/>
          <w:numId w:val="10"/>
        </w:numPr>
        <w:rPr>
          <w:rFonts w:ascii="Arial" w:cs="Arial" w:eastAsia="Arial" w:hAnsi="Arial"/>
          <w:sz w:val="13"/>
          <w:szCs w:val="13"/>
          <w:color w:val="auto"/>
        </w:rPr>
      </w:pPr>
      <w:r>
        <w:rPr>
          <w:rFonts w:ascii="Arial" w:cs="Arial" w:eastAsia="Arial" w:hAnsi="Arial"/>
          <w:sz w:val="13"/>
          <w:szCs w:val="13"/>
          <w:color w:val="auto"/>
        </w:rPr>
        <w:t>A more detailed description of the Board’s recommendation was filed on a Schedule 14D-9 with the SEC.</w:t>
      </w:r>
    </w:p>
    <w:p>
      <w:pPr>
        <w:spacing w:after="0" w:line="83" w:lineRule="exact"/>
        <w:rPr>
          <w:rFonts w:ascii="Arial" w:cs="Arial" w:eastAsia="Arial" w:hAnsi="Arial"/>
          <w:sz w:val="13"/>
          <w:szCs w:val="13"/>
          <w:color w:val="auto"/>
        </w:rPr>
      </w:pPr>
    </w:p>
    <w:p>
      <w:pPr>
        <w:ind w:left="1320" w:hanging="379"/>
        <w:spacing w:after="0"/>
        <w:tabs>
          <w:tab w:leader="none" w:pos="1320" w:val="left"/>
        </w:tabs>
        <w:numPr>
          <w:ilvl w:val="0"/>
          <w:numId w:val="10"/>
        </w:numPr>
        <w:rPr>
          <w:rFonts w:ascii="Arial" w:cs="Arial" w:eastAsia="Arial" w:hAnsi="Arial"/>
          <w:sz w:val="13"/>
          <w:szCs w:val="13"/>
          <w:b w:val="1"/>
          <w:bCs w:val="1"/>
          <w:color w:val="auto"/>
        </w:rPr>
      </w:pPr>
      <w:r>
        <w:rPr>
          <w:rFonts w:ascii="Arial" w:cs="Arial" w:eastAsia="Arial" w:hAnsi="Arial"/>
          <w:sz w:val="13"/>
          <w:szCs w:val="13"/>
          <w:b w:val="1"/>
          <w:bCs w:val="1"/>
          <w:color w:val="auto"/>
        </w:rPr>
        <w:t>What do Icahn’s actions mean for employees? What do they mean for our company?</w:t>
      </w:r>
    </w:p>
    <w:p>
      <w:pPr>
        <w:spacing w:after="0" w:line="91" w:lineRule="exact"/>
        <w:rPr>
          <w:rFonts w:ascii="Arial" w:cs="Arial" w:eastAsia="Arial" w:hAnsi="Arial"/>
          <w:sz w:val="13"/>
          <w:szCs w:val="13"/>
          <w:b w:val="1"/>
          <w:bCs w:val="1"/>
          <w:color w:val="auto"/>
        </w:rPr>
      </w:pPr>
    </w:p>
    <w:p>
      <w:pPr>
        <w:ind w:left="2100" w:right="799" w:hanging="382"/>
        <w:spacing w:after="0" w:line="261" w:lineRule="auto"/>
        <w:tabs>
          <w:tab w:leader="none" w:pos="2100" w:val="left"/>
        </w:tabs>
        <w:numPr>
          <w:ilvl w:val="1"/>
          <w:numId w:val="10"/>
        </w:numPr>
        <w:rPr>
          <w:rFonts w:ascii="Arial" w:cs="Arial" w:eastAsia="Arial" w:hAnsi="Arial"/>
          <w:sz w:val="13"/>
          <w:szCs w:val="13"/>
          <w:color w:val="auto"/>
        </w:rPr>
      </w:pPr>
      <w:r>
        <w:rPr>
          <w:rFonts w:ascii="Arial" w:cs="Arial" w:eastAsia="Arial" w:hAnsi="Arial"/>
          <w:sz w:val="13"/>
          <w:szCs w:val="13"/>
          <w:color w:val="auto"/>
        </w:rPr>
        <w:t>The important thing for employees to know is it remains business as usual and that our success depends on our collective efforts.</w:t>
      </w:r>
    </w:p>
    <w:p>
      <w:pPr>
        <w:spacing w:after="0" w:line="63" w:lineRule="exact"/>
        <w:rPr>
          <w:rFonts w:ascii="Arial" w:cs="Arial" w:eastAsia="Arial" w:hAnsi="Arial"/>
          <w:sz w:val="13"/>
          <w:szCs w:val="13"/>
          <w:color w:val="auto"/>
        </w:rPr>
      </w:pPr>
    </w:p>
    <w:p>
      <w:pPr>
        <w:ind w:left="2100" w:hanging="382"/>
        <w:spacing w:after="0"/>
        <w:tabs>
          <w:tab w:leader="none" w:pos="2100" w:val="left"/>
        </w:tabs>
        <w:numPr>
          <w:ilvl w:val="1"/>
          <w:numId w:val="10"/>
        </w:numPr>
        <w:rPr>
          <w:rFonts w:ascii="Arial" w:cs="Arial" w:eastAsia="Arial" w:hAnsi="Arial"/>
          <w:sz w:val="13"/>
          <w:szCs w:val="13"/>
          <w:color w:val="auto"/>
        </w:rPr>
      </w:pPr>
      <w:r>
        <w:rPr>
          <w:rFonts w:ascii="Arial" w:cs="Arial" w:eastAsia="Arial" w:hAnsi="Arial"/>
          <w:sz w:val="13"/>
          <w:szCs w:val="13"/>
          <w:color w:val="auto"/>
        </w:rPr>
        <w:t>Everyone’s roles and day-to-day responsibilities remain the same.</w:t>
      </w:r>
    </w:p>
    <w:p>
      <w:pPr>
        <w:spacing w:after="0" w:line="87" w:lineRule="exact"/>
        <w:rPr>
          <w:rFonts w:ascii="Arial" w:cs="Arial" w:eastAsia="Arial" w:hAnsi="Arial"/>
          <w:sz w:val="13"/>
          <w:szCs w:val="13"/>
          <w:color w:val="auto"/>
        </w:rPr>
      </w:pPr>
    </w:p>
    <w:p>
      <w:pPr>
        <w:ind w:left="2100" w:right="939" w:hanging="382"/>
        <w:spacing w:after="0" w:line="261" w:lineRule="auto"/>
        <w:tabs>
          <w:tab w:leader="none" w:pos="2100" w:val="left"/>
        </w:tabs>
        <w:numPr>
          <w:ilvl w:val="1"/>
          <w:numId w:val="10"/>
        </w:numPr>
        <w:rPr>
          <w:rFonts w:ascii="Arial" w:cs="Arial" w:eastAsia="Arial" w:hAnsi="Arial"/>
          <w:sz w:val="13"/>
          <w:szCs w:val="13"/>
          <w:color w:val="auto"/>
        </w:rPr>
      </w:pPr>
      <w:r>
        <w:rPr>
          <w:rFonts w:ascii="Arial" w:cs="Arial" w:eastAsia="Arial" w:hAnsi="Arial"/>
          <w:sz w:val="13"/>
          <w:szCs w:val="13"/>
          <w:color w:val="auto"/>
        </w:rPr>
        <w:t>The Board recommends that any employees that hold stock of Southwest Gas Holdings not tender their shares into the offer.</w:t>
      </w:r>
    </w:p>
    <w:p>
      <w:pPr>
        <w:spacing w:after="0" w:line="63" w:lineRule="exact"/>
        <w:rPr>
          <w:rFonts w:ascii="Arial" w:cs="Arial" w:eastAsia="Arial" w:hAnsi="Arial"/>
          <w:sz w:val="13"/>
          <w:szCs w:val="13"/>
          <w:color w:val="auto"/>
        </w:rPr>
      </w:pPr>
    </w:p>
    <w:p>
      <w:pPr>
        <w:ind w:left="2100" w:right="1159" w:hanging="382"/>
        <w:spacing w:after="0" w:line="261" w:lineRule="auto"/>
        <w:tabs>
          <w:tab w:leader="none" w:pos="2100" w:val="left"/>
        </w:tabs>
        <w:numPr>
          <w:ilvl w:val="1"/>
          <w:numId w:val="10"/>
        </w:numPr>
        <w:rPr>
          <w:rFonts w:ascii="Arial" w:cs="Arial" w:eastAsia="Arial" w:hAnsi="Arial"/>
          <w:sz w:val="13"/>
          <w:szCs w:val="13"/>
          <w:color w:val="auto"/>
        </w:rPr>
      </w:pPr>
      <w:r>
        <w:rPr>
          <w:rFonts w:ascii="Arial" w:cs="Arial" w:eastAsia="Arial" w:hAnsi="Arial"/>
          <w:sz w:val="13"/>
          <w:szCs w:val="13"/>
          <w:color w:val="auto"/>
        </w:rPr>
        <w:t>Our Board and management team have great confidence in the road ahead and see a future that offers a significant opportunity for continued success.</w:t>
      </w:r>
    </w:p>
    <w:p>
      <w:pPr>
        <w:spacing w:after="0" w:line="59" w:lineRule="exact"/>
        <w:rPr>
          <w:rFonts w:ascii="Arial" w:cs="Arial" w:eastAsia="Arial" w:hAnsi="Arial"/>
          <w:sz w:val="13"/>
          <w:szCs w:val="13"/>
          <w:color w:val="auto"/>
        </w:rPr>
      </w:pPr>
    </w:p>
    <w:p>
      <w:pPr>
        <w:ind w:left="1320" w:hanging="379"/>
        <w:spacing w:after="0"/>
        <w:tabs>
          <w:tab w:leader="none" w:pos="1320" w:val="left"/>
        </w:tabs>
        <w:numPr>
          <w:ilvl w:val="0"/>
          <w:numId w:val="10"/>
        </w:numPr>
        <w:rPr>
          <w:rFonts w:ascii="Arial" w:cs="Arial" w:eastAsia="Arial" w:hAnsi="Arial"/>
          <w:sz w:val="13"/>
          <w:szCs w:val="13"/>
          <w:b w:val="1"/>
          <w:bCs w:val="1"/>
          <w:color w:val="auto"/>
        </w:rPr>
      </w:pPr>
      <w:r>
        <w:rPr>
          <w:rFonts w:ascii="Arial" w:cs="Arial" w:eastAsia="Arial" w:hAnsi="Arial"/>
          <w:sz w:val="13"/>
          <w:szCs w:val="13"/>
          <w:b w:val="1"/>
          <w:bCs w:val="1"/>
          <w:color w:val="auto"/>
        </w:rPr>
        <w:t>What should employees tell others (customers, business partners, etc.) who ask me about this?</w:t>
      </w:r>
    </w:p>
    <w:p>
      <w:pPr>
        <w:spacing w:after="0" w:line="91" w:lineRule="exact"/>
        <w:rPr>
          <w:rFonts w:ascii="Arial" w:cs="Arial" w:eastAsia="Arial" w:hAnsi="Arial"/>
          <w:sz w:val="13"/>
          <w:szCs w:val="13"/>
          <w:b w:val="1"/>
          <w:bCs w:val="1"/>
          <w:color w:val="auto"/>
        </w:rPr>
      </w:pPr>
    </w:p>
    <w:p>
      <w:pPr>
        <w:ind w:left="2100" w:hanging="382"/>
        <w:spacing w:after="0"/>
        <w:tabs>
          <w:tab w:leader="none" w:pos="2100" w:val="left"/>
        </w:tabs>
        <w:numPr>
          <w:ilvl w:val="1"/>
          <w:numId w:val="10"/>
        </w:numPr>
        <w:rPr>
          <w:rFonts w:ascii="Arial" w:cs="Arial" w:eastAsia="Arial" w:hAnsi="Arial"/>
          <w:sz w:val="13"/>
          <w:szCs w:val="13"/>
          <w:color w:val="auto"/>
        </w:rPr>
      </w:pPr>
      <w:r>
        <w:rPr>
          <w:rFonts w:ascii="Arial" w:cs="Arial" w:eastAsia="Arial" w:hAnsi="Arial"/>
          <w:sz w:val="13"/>
          <w:szCs w:val="13"/>
          <w:color w:val="auto"/>
        </w:rPr>
        <w:t>Please remind our stakeholders that we are operating as usual.</w:t>
      </w:r>
    </w:p>
    <w:p>
      <w:pPr>
        <w:spacing w:after="0" w:line="87" w:lineRule="exact"/>
        <w:rPr>
          <w:rFonts w:ascii="Arial" w:cs="Arial" w:eastAsia="Arial" w:hAnsi="Arial"/>
          <w:sz w:val="13"/>
          <w:szCs w:val="13"/>
          <w:color w:val="auto"/>
        </w:rPr>
      </w:pPr>
    </w:p>
    <w:p>
      <w:pPr>
        <w:ind w:left="2100" w:hanging="382"/>
        <w:spacing w:after="0"/>
        <w:tabs>
          <w:tab w:leader="none" w:pos="2100" w:val="left"/>
        </w:tabs>
        <w:numPr>
          <w:ilvl w:val="1"/>
          <w:numId w:val="10"/>
        </w:numPr>
        <w:rPr>
          <w:rFonts w:ascii="Arial" w:cs="Arial" w:eastAsia="Arial" w:hAnsi="Arial"/>
          <w:sz w:val="12"/>
          <w:szCs w:val="12"/>
          <w:color w:val="auto"/>
        </w:rPr>
      </w:pPr>
      <w:r>
        <w:rPr>
          <w:rFonts w:ascii="Arial" w:cs="Arial" w:eastAsia="Arial" w:hAnsi="Arial"/>
          <w:sz w:val="12"/>
          <w:szCs w:val="12"/>
          <w:color w:val="auto"/>
        </w:rPr>
        <w:t>Icahn is a stockholder, and the Board and management team will consider his views as we would of any stockholder.</w:t>
      </w:r>
    </w:p>
    <w:p>
      <w:pPr>
        <w:spacing w:after="0" w:line="98" w:lineRule="exact"/>
        <w:rPr>
          <w:rFonts w:ascii="Arial" w:cs="Arial" w:eastAsia="Arial" w:hAnsi="Arial"/>
          <w:sz w:val="12"/>
          <w:szCs w:val="12"/>
          <w:color w:val="auto"/>
        </w:rPr>
      </w:pPr>
    </w:p>
    <w:p>
      <w:pPr>
        <w:ind w:left="2100" w:hanging="382"/>
        <w:spacing w:after="0"/>
        <w:tabs>
          <w:tab w:leader="none" w:pos="2100" w:val="left"/>
        </w:tabs>
        <w:numPr>
          <w:ilvl w:val="1"/>
          <w:numId w:val="10"/>
        </w:numPr>
        <w:rPr>
          <w:rFonts w:ascii="Arial" w:cs="Arial" w:eastAsia="Arial" w:hAnsi="Arial"/>
          <w:sz w:val="12"/>
          <w:szCs w:val="12"/>
          <w:color w:val="auto"/>
        </w:rPr>
      </w:pPr>
      <w:r>
        <w:rPr>
          <w:rFonts w:ascii="Arial" w:cs="Arial" w:eastAsia="Arial" w:hAnsi="Arial"/>
          <w:sz w:val="12"/>
          <w:szCs w:val="12"/>
          <w:color w:val="auto"/>
        </w:rPr>
        <w:t>We will continue to take all appropriate steps to serve the best interests of the Company and all of our stakeholders.</w:t>
      </w:r>
    </w:p>
    <w:p>
      <w:pPr>
        <w:spacing w:after="0" w:line="98" w:lineRule="exact"/>
        <w:rPr>
          <w:rFonts w:ascii="Arial" w:cs="Arial" w:eastAsia="Arial" w:hAnsi="Arial"/>
          <w:sz w:val="12"/>
          <w:szCs w:val="12"/>
          <w:color w:val="auto"/>
        </w:rPr>
      </w:pPr>
    </w:p>
    <w:p>
      <w:pPr>
        <w:ind w:left="2100" w:hanging="382"/>
        <w:spacing w:after="0"/>
        <w:tabs>
          <w:tab w:leader="none" w:pos="2100" w:val="left"/>
        </w:tabs>
        <w:numPr>
          <w:ilvl w:val="1"/>
          <w:numId w:val="10"/>
        </w:numPr>
        <w:rPr>
          <w:rFonts w:ascii="Arial" w:cs="Arial" w:eastAsia="Arial" w:hAnsi="Arial"/>
          <w:sz w:val="13"/>
          <w:szCs w:val="13"/>
          <w:color w:val="auto"/>
        </w:rPr>
      </w:pPr>
      <w:r>
        <w:rPr>
          <w:rFonts w:ascii="Arial" w:cs="Arial" w:eastAsia="Arial" w:hAnsi="Arial"/>
          <w:sz w:val="13"/>
          <w:szCs w:val="13"/>
          <w:color w:val="auto"/>
        </w:rPr>
        <w:t>Our relationships with customers, business partners and other stakeholders are unchanged by this news.</w:t>
      </w:r>
    </w:p>
    <w:p>
      <w:pPr>
        <w:sectPr>
          <w:pgSz w:w="11900" w:h="16838" w:orient="portrait"/>
          <w:cols w:equalWidth="0" w:num="1">
            <w:col w:w="9019"/>
          </w:cols>
          <w:pgMar w:left="1440" w:top="127" w:right="1440" w:bottom="1440" w:gutter="0" w:footer="0" w:header="0"/>
        </w:sectPr>
      </w:pPr>
    </w:p>
    <w:bookmarkStart w:id="85" w:name="page86"/>
    <w:bookmarkEnd w:id="85"/>
    <w:p>
      <w:pPr>
        <w:ind w:left="1320" w:hanging="379"/>
        <w:spacing w:after="0"/>
        <w:tabs>
          <w:tab w:leader="none" w:pos="1320" w:val="left"/>
        </w:tabs>
        <w:numPr>
          <w:ilvl w:val="0"/>
          <w:numId w:val="11"/>
        </w:numPr>
        <w:rPr>
          <w:rFonts w:ascii="Arial" w:cs="Arial" w:eastAsia="Arial" w:hAnsi="Arial"/>
          <w:sz w:val="12"/>
          <w:szCs w:val="12"/>
          <w:b w:val="1"/>
          <w:bCs w:val="1"/>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 understand Carl Icahn has also threatened a proxy contest recently, what does that mean for me and the company?</w:t>
      </w:r>
    </w:p>
    <w:p>
      <w:pPr>
        <w:spacing w:after="0" w:line="102" w:lineRule="exact"/>
        <w:rPr>
          <w:rFonts w:ascii="Arial" w:cs="Arial" w:eastAsia="Arial" w:hAnsi="Arial"/>
          <w:sz w:val="12"/>
          <w:szCs w:val="12"/>
          <w:b w:val="1"/>
          <w:bCs w:val="1"/>
          <w:color w:val="auto"/>
        </w:rPr>
      </w:pPr>
    </w:p>
    <w:p>
      <w:pPr>
        <w:ind w:left="2100" w:right="779" w:hanging="382"/>
        <w:spacing w:after="0" w:line="283" w:lineRule="auto"/>
        <w:tabs>
          <w:tab w:leader="none" w:pos="2100" w:val="left"/>
        </w:tabs>
        <w:numPr>
          <w:ilvl w:val="1"/>
          <w:numId w:val="11"/>
        </w:numPr>
        <w:rPr>
          <w:rFonts w:ascii="Arial" w:cs="Arial" w:eastAsia="Arial" w:hAnsi="Arial"/>
          <w:sz w:val="12"/>
          <w:szCs w:val="12"/>
          <w:color w:val="auto"/>
        </w:rPr>
      </w:pPr>
      <w:r>
        <w:rPr>
          <w:rFonts w:ascii="Arial" w:cs="Arial" w:eastAsia="Arial" w:hAnsi="Arial"/>
          <w:sz w:val="12"/>
          <w:szCs w:val="12"/>
          <w:color w:val="auto"/>
        </w:rPr>
        <w:t>A proxy contest occurs when a stockholder presents an alternate slate of candidates for election to the board in opposition to a Company’s nominees and solicits proxies from stockholders to vote on the election of directors or a particular stockholder proposal. These solicitations are governed by the SEC’s proxy rules.</w:t>
      </w:r>
    </w:p>
    <w:p>
      <w:pPr>
        <w:spacing w:after="0" w:line="52" w:lineRule="exact"/>
        <w:rPr>
          <w:rFonts w:ascii="Arial" w:cs="Arial" w:eastAsia="Arial" w:hAnsi="Arial"/>
          <w:sz w:val="12"/>
          <w:szCs w:val="12"/>
          <w:color w:val="auto"/>
        </w:rPr>
      </w:pPr>
    </w:p>
    <w:p>
      <w:pPr>
        <w:ind w:left="2100" w:right="759" w:hanging="382"/>
        <w:spacing w:after="0" w:line="261" w:lineRule="auto"/>
        <w:tabs>
          <w:tab w:leader="none" w:pos="2100" w:val="left"/>
        </w:tabs>
        <w:numPr>
          <w:ilvl w:val="1"/>
          <w:numId w:val="11"/>
        </w:numPr>
        <w:rPr>
          <w:rFonts w:ascii="Arial" w:cs="Arial" w:eastAsia="Arial" w:hAnsi="Arial"/>
          <w:sz w:val="13"/>
          <w:szCs w:val="13"/>
          <w:color w:val="auto"/>
        </w:rPr>
      </w:pPr>
      <w:r>
        <w:rPr>
          <w:rFonts w:ascii="Arial" w:cs="Arial" w:eastAsia="Arial" w:hAnsi="Arial"/>
          <w:sz w:val="13"/>
          <w:szCs w:val="13"/>
          <w:color w:val="auto"/>
        </w:rPr>
        <w:t>Each side uses a different color proxy card and the contest for votes is known as a proxy contest because each party’s goal is to receive more stockholder votes than the other party.</w:t>
      </w:r>
    </w:p>
    <w:p>
      <w:pPr>
        <w:spacing w:after="0" w:line="63" w:lineRule="exact"/>
        <w:rPr>
          <w:rFonts w:ascii="Arial" w:cs="Arial" w:eastAsia="Arial" w:hAnsi="Arial"/>
          <w:sz w:val="13"/>
          <w:szCs w:val="13"/>
          <w:color w:val="auto"/>
        </w:rPr>
      </w:pPr>
    </w:p>
    <w:p>
      <w:pPr>
        <w:ind w:left="2100" w:right="859" w:hanging="382"/>
        <w:spacing w:after="0" w:line="261" w:lineRule="auto"/>
        <w:tabs>
          <w:tab w:leader="none" w:pos="2100" w:val="left"/>
        </w:tabs>
        <w:numPr>
          <w:ilvl w:val="1"/>
          <w:numId w:val="11"/>
        </w:numPr>
        <w:rPr>
          <w:rFonts w:ascii="Arial" w:cs="Arial" w:eastAsia="Arial" w:hAnsi="Arial"/>
          <w:sz w:val="13"/>
          <w:szCs w:val="13"/>
          <w:color w:val="auto"/>
        </w:rPr>
      </w:pPr>
      <w:r>
        <w:rPr>
          <w:rFonts w:ascii="Arial" w:cs="Arial" w:eastAsia="Arial" w:hAnsi="Arial"/>
          <w:sz w:val="13"/>
          <w:szCs w:val="13"/>
          <w:color w:val="auto"/>
        </w:rPr>
        <w:t>Icahn has not yet submitted director nominees. Our Board would consider his director nominees according to its normal processes.</w:t>
      </w:r>
    </w:p>
    <w:p>
      <w:pPr>
        <w:spacing w:after="0" w:line="59" w:lineRule="exact"/>
        <w:rPr>
          <w:rFonts w:ascii="Arial" w:cs="Arial" w:eastAsia="Arial" w:hAnsi="Arial"/>
          <w:sz w:val="13"/>
          <w:szCs w:val="13"/>
          <w:color w:val="auto"/>
        </w:rPr>
      </w:pPr>
    </w:p>
    <w:p>
      <w:pPr>
        <w:ind w:left="1320" w:hanging="379"/>
        <w:spacing w:after="0"/>
        <w:tabs>
          <w:tab w:leader="none" w:pos="1320" w:val="left"/>
        </w:tabs>
        <w:numPr>
          <w:ilvl w:val="0"/>
          <w:numId w:val="11"/>
        </w:numPr>
        <w:rPr>
          <w:rFonts w:ascii="Arial" w:cs="Arial" w:eastAsia="Arial" w:hAnsi="Arial"/>
          <w:sz w:val="13"/>
          <w:szCs w:val="13"/>
          <w:b w:val="1"/>
          <w:bCs w:val="1"/>
          <w:color w:val="auto"/>
        </w:rPr>
      </w:pPr>
      <w:r>
        <w:rPr>
          <w:rFonts w:ascii="Arial" w:cs="Arial" w:eastAsia="Arial" w:hAnsi="Arial"/>
          <w:sz w:val="13"/>
          <w:szCs w:val="13"/>
          <w:b w:val="1"/>
          <w:bCs w:val="1"/>
          <w:color w:val="auto"/>
        </w:rPr>
        <w:t>Is the Questar Pipelines acquisition on track to be completed?</w:t>
      </w:r>
    </w:p>
    <w:p>
      <w:pPr>
        <w:spacing w:after="0" w:line="91" w:lineRule="exact"/>
        <w:rPr>
          <w:rFonts w:ascii="Arial" w:cs="Arial" w:eastAsia="Arial" w:hAnsi="Arial"/>
          <w:sz w:val="13"/>
          <w:szCs w:val="13"/>
          <w:b w:val="1"/>
          <w:bCs w:val="1"/>
          <w:color w:val="auto"/>
        </w:rPr>
      </w:pPr>
    </w:p>
    <w:p>
      <w:pPr>
        <w:ind w:left="2100" w:right="779" w:hanging="382"/>
        <w:spacing w:after="0" w:line="261" w:lineRule="auto"/>
        <w:tabs>
          <w:tab w:leader="none" w:pos="2100" w:val="left"/>
        </w:tabs>
        <w:numPr>
          <w:ilvl w:val="1"/>
          <w:numId w:val="11"/>
        </w:numPr>
        <w:rPr>
          <w:rFonts w:ascii="Arial" w:cs="Arial" w:eastAsia="Arial" w:hAnsi="Arial"/>
          <w:sz w:val="13"/>
          <w:szCs w:val="13"/>
          <w:color w:val="auto"/>
        </w:rPr>
      </w:pPr>
      <w:r>
        <w:rPr>
          <w:rFonts w:ascii="Arial" w:cs="Arial" w:eastAsia="Arial" w:hAnsi="Arial"/>
          <w:sz w:val="13"/>
          <w:szCs w:val="13"/>
          <w:color w:val="auto"/>
        </w:rPr>
        <w:t>Yes, the transaction is expected to close on or about December 31, 2021, subject to Hart-Scott-Rodino approval and other customary closing conditions.</w:t>
      </w:r>
    </w:p>
    <w:p>
      <w:pPr>
        <w:spacing w:after="0" w:line="63" w:lineRule="exact"/>
        <w:rPr>
          <w:rFonts w:ascii="Arial" w:cs="Arial" w:eastAsia="Arial" w:hAnsi="Arial"/>
          <w:sz w:val="13"/>
          <w:szCs w:val="13"/>
          <w:color w:val="auto"/>
        </w:rPr>
      </w:pPr>
    </w:p>
    <w:p>
      <w:pPr>
        <w:ind w:left="2100" w:right="1159" w:hanging="382"/>
        <w:spacing w:after="0" w:line="261" w:lineRule="auto"/>
        <w:tabs>
          <w:tab w:leader="none" w:pos="2100" w:val="left"/>
        </w:tabs>
        <w:numPr>
          <w:ilvl w:val="1"/>
          <w:numId w:val="11"/>
        </w:numPr>
        <w:rPr>
          <w:rFonts w:ascii="Arial" w:cs="Arial" w:eastAsia="Arial" w:hAnsi="Arial"/>
          <w:sz w:val="13"/>
          <w:szCs w:val="13"/>
          <w:color w:val="auto"/>
        </w:rPr>
      </w:pPr>
      <w:r>
        <w:rPr>
          <w:rFonts w:ascii="Arial" w:cs="Arial" w:eastAsia="Arial" w:hAnsi="Arial"/>
          <w:sz w:val="13"/>
          <w:szCs w:val="13"/>
          <w:color w:val="auto"/>
        </w:rPr>
        <w:t>Following the close of the transaction, Questar Pipelines will operate as a standalone subsidiary of Southwest Gas Holdings.</w:t>
      </w:r>
    </w:p>
    <w:p>
      <w:pPr>
        <w:spacing w:after="0" w:line="63" w:lineRule="exact"/>
        <w:rPr>
          <w:rFonts w:ascii="Arial" w:cs="Arial" w:eastAsia="Arial" w:hAnsi="Arial"/>
          <w:sz w:val="13"/>
          <w:szCs w:val="13"/>
          <w:color w:val="auto"/>
        </w:rPr>
      </w:pPr>
    </w:p>
    <w:p>
      <w:pPr>
        <w:ind w:left="2100" w:right="1099" w:hanging="382"/>
        <w:spacing w:after="0" w:line="261" w:lineRule="auto"/>
        <w:tabs>
          <w:tab w:leader="none" w:pos="2100" w:val="left"/>
        </w:tabs>
        <w:numPr>
          <w:ilvl w:val="1"/>
          <w:numId w:val="11"/>
        </w:numPr>
        <w:rPr>
          <w:rFonts w:ascii="Arial" w:cs="Arial" w:eastAsia="Arial" w:hAnsi="Arial"/>
          <w:sz w:val="13"/>
          <w:szCs w:val="13"/>
          <w:color w:val="auto"/>
        </w:rPr>
      </w:pPr>
      <w:r>
        <w:rPr>
          <w:rFonts w:ascii="Arial" w:cs="Arial" w:eastAsia="Arial" w:hAnsi="Arial"/>
          <w:sz w:val="13"/>
          <w:szCs w:val="13"/>
          <w:color w:val="auto"/>
        </w:rPr>
        <w:t>We remain confident that the acquisition of Questar Pipeline broadens the Company’s opportunities for growth and provides significant, long-term value to our stockholders.</w:t>
      </w:r>
    </w:p>
    <w:p>
      <w:pPr>
        <w:spacing w:after="0" w:line="59" w:lineRule="exact"/>
        <w:rPr>
          <w:rFonts w:ascii="Arial" w:cs="Arial" w:eastAsia="Arial" w:hAnsi="Arial"/>
          <w:sz w:val="13"/>
          <w:szCs w:val="13"/>
          <w:color w:val="auto"/>
        </w:rPr>
      </w:pPr>
    </w:p>
    <w:p>
      <w:pPr>
        <w:ind w:left="1320" w:hanging="379"/>
        <w:spacing w:after="0"/>
        <w:tabs>
          <w:tab w:leader="none" w:pos="1320" w:val="left"/>
        </w:tabs>
        <w:numPr>
          <w:ilvl w:val="0"/>
          <w:numId w:val="11"/>
        </w:numPr>
        <w:rPr>
          <w:rFonts w:ascii="Arial" w:cs="Arial" w:eastAsia="Arial" w:hAnsi="Arial"/>
          <w:sz w:val="13"/>
          <w:szCs w:val="13"/>
          <w:b w:val="1"/>
          <w:bCs w:val="1"/>
          <w:color w:val="auto"/>
        </w:rPr>
      </w:pPr>
      <w:r>
        <w:rPr>
          <w:rFonts w:ascii="Arial" w:cs="Arial" w:eastAsia="Arial" w:hAnsi="Arial"/>
          <w:sz w:val="13"/>
          <w:szCs w:val="13"/>
          <w:b w:val="1"/>
          <w:bCs w:val="1"/>
          <w:color w:val="auto"/>
        </w:rPr>
        <w:t>Who should I speak with if I have additional questions?</w:t>
      </w:r>
    </w:p>
    <w:p>
      <w:pPr>
        <w:spacing w:after="0" w:line="91" w:lineRule="exact"/>
        <w:rPr>
          <w:rFonts w:ascii="Arial" w:cs="Arial" w:eastAsia="Arial" w:hAnsi="Arial"/>
          <w:sz w:val="13"/>
          <w:szCs w:val="13"/>
          <w:b w:val="1"/>
          <w:bCs w:val="1"/>
          <w:color w:val="auto"/>
        </w:rPr>
      </w:pPr>
    </w:p>
    <w:p>
      <w:pPr>
        <w:ind w:left="2100" w:hanging="382"/>
        <w:spacing w:after="0"/>
        <w:tabs>
          <w:tab w:leader="none" w:pos="2100" w:val="left"/>
        </w:tabs>
        <w:numPr>
          <w:ilvl w:val="1"/>
          <w:numId w:val="11"/>
        </w:numPr>
        <w:rPr>
          <w:rFonts w:ascii="Arial" w:cs="Arial" w:eastAsia="Arial" w:hAnsi="Arial"/>
          <w:sz w:val="13"/>
          <w:szCs w:val="13"/>
          <w:color w:val="auto"/>
        </w:rPr>
      </w:pPr>
      <w:r>
        <w:rPr>
          <w:rFonts w:ascii="Arial" w:cs="Arial" w:eastAsia="Arial" w:hAnsi="Arial"/>
          <w:sz w:val="13"/>
          <w:szCs w:val="13"/>
          <w:color w:val="auto"/>
        </w:rPr>
        <w:t>If you have additional questions, please contact your supervisor.</w:t>
      </w:r>
    </w:p>
    <w:p>
      <w:pPr>
        <w:spacing w:after="0" w:line="87" w:lineRule="exact"/>
        <w:rPr>
          <w:rFonts w:ascii="Arial" w:cs="Arial" w:eastAsia="Arial" w:hAnsi="Arial"/>
          <w:sz w:val="13"/>
          <w:szCs w:val="13"/>
          <w:color w:val="auto"/>
        </w:rPr>
      </w:pPr>
    </w:p>
    <w:p>
      <w:pPr>
        <w:ind w:left="2100" w:right="679" w:hanging="382"/>
        <w:spacing w:after="0" w:line="302" w:lineRule="auto"/>
        <w:tabs>
          <w:tab w:leader="none" w:pos="2100" w:val="left"/>
        </w:tabs>
        <w:numPr>
          <w:ilvl w:val="1"/>
          <w:numId w:val="11"/>
        </w:numPr>
        <w:rPr>
          <w:rFonts w:ascii="Arial" w:cs="Arial" w:eastAsia="Arial" w:hAnsi="Arial"/>
          <w:sz w:val="12"/>
          <w:szCs w:val="12"/>
          <w:color w:val="auto"/>
        </w:rPr>
      </w:pPr>
      <w:r>
        <w:rPr>
          <w:rFonts w:ascii="Arial" w:cs="Arial" w:eastAsia="Arial" w:hAnsi="Arial"/>
          <w:sz w:val="12"/>
          <w:szCs w:val="12"/>
          <w:color w:val="auto"/>
        </w:rPr>
        <w:t>If you have any questions regarding the Schedule 14D-9, please contact the Company’s Information Agent, Innisfree M&amp;A Incorporated, at: (877) 825-8621 (toll free from the U.S. or Canada) or +1 (412) 232-3651 (from other locations).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How to Find Further Information</w:t>
      </w:r>
    </w:p>
    <w:p>
      <w:pPr>
        <w:spacing w:after="0" w:line="82" w:lineRule="exact"/>
        <w:rPr>
          <w:sz w:val="20"/>
          <w:szCs w:val="20"/>
          <w:color w:val="auto"/>
        </w:rPr>
      </w:pPr>
    </w:p>
    <w:p>
      <w:pPr>
        <w:ind w:left="640" w:right="679"/>
        <w:spacing w:after="0" w:line="267" w:lineRule="auto"/>
        <w:rPr>
          <w:sz w:val="20"/>
          <w:szCs w:val="20"/>
          <w:color w:val="auto"/>
        </w:rPr>
      </w:pPr>
      <w:r>
        <w:rPr>
          <w:rFonts w:ascii="Arial" w:cs="Arial" w:eastAsia="Arial" w:hAnsi="Arial"/>
          <w:sz w:val="12"/>
          <w:szCs w:val="12"/>
          <w:color w:val="auto"/>
        </w:rPr>
        <w:t xml:space="preserve">This communication does not constitute a solicitation of any vote or approval in connection with the 2022 annual meeting of stockholders of Southwest Gas Holdings, Inc. (the “Company”) (the “Annual Meeting”). In connection with the Annual Meeting, the Company will file a proxy statement with the U.S. Securities and Exchange Commission (“SEC”), which the Company will furnish, with any other relevant information or documents, to its stockholders in connection with the Annual Meeting. BEFORE MAKING ANY VOTING DECISION, WE URGE STOCKHOLDERS TO READ THE PROXY STATEMENT (INCLUDING ALL AMENDMENTS AND SUPPLEMENTS THERETO) AND OTHER DOCUMENTS WHEN SUCH INFORMATION IS FILED WITH THE SEC CAREFULLY AND IN THEIR ENTIRETY WHEN THEY BECOME AVAILABLE, BECAUSE THEY WILL CONTAIN IMPORTANT INFORMATION ABOUT THE COMPANY AND THE ANNUAL MEETING. The proposals for the Annual Meeting will be made solely through the proxy statement. In addition, a copy of the proxy statement (when it becomes available) may be obtained free of charge from </w:t>
      </w:r>
      <w:r>
        <w:rPr>
          <w:rFonts w:ascii="Arial" w:cs="Arial" w:eastAsia="Arial" w:hAnsi="Arial"/>
          <w:sz w:val="12"/>
          <w:szCs w:val="12"/>
          <w:u w:val="single" w:color="auto"/>
          <w:color w:val="auto"/>
        </w:rPr>
        <w:t>www.swgasholdings.com/proxymaterials</w:t>
      </w:r>
      <w:r>
        <w:rPr>
          <w:rFonts w:ascii="Arial" w:cs="Arial" w:eastAsia="Arial" w:hAnsi="Arial"/>
          <w:sz w:val="12"/>
          <w:szCs w:val="12"/>
          <w:color w:val="auto"/>
        </w:rPr>
        <w:t xml:space="preserve">. Security holders also will be able to obtain, free of charge, copies of the proxy statement and any other documents filed by Company with the SEC in connection with the Annual Meeting at the SEC’s website at http://www.sec.gov, and at the companies’ website at </w:t>
      </w:r>
      <w:r>
        <w:rPr>
          <w:rFonts w:ascii="Arial" w:cs="Arial" w:eastAsia="Arial" w:hAnsi="Arial"/>
          <w:sz w:val="12"/>
          <w:szCs w:val="12"/>
          <w:u w:val="single" w:color="auto"/>
          <w:color w:val="auto"/>
        </w:rPr>
        <w:t>www.swgasholdings.com</w:t>
      </w:r>
      <w:r>
        <w:rPr>
          <w:rFonts w:ascii="Arial" w:cs="Arial" w:eastAsia="Arial" w:hAnsi="Arial"/>
          <w:sz w:val="12"/>
          <w:szCs w:val="12"/>
          <w:color w:val="auto"/>
        </w:rPr>
        <w:t>.</w:t>
      </w:r>
    </w:p>
    <w:p>
      <w:pPr>
        <w:sectPr>
          <w:pgSz w:w="11900" w:h="16838" w:orient="portrait"/>
          <w:cols w:equalWidth="0" w:num="1">
            <w:col w:w="9019"/>
          </w:cols>
          <w:pgMar w:left="1440" w:top="231" w:right="1440" w:bottom="1440" w:gutter="0" w:footer="0" w:header="0"/>
        </w:sectPr>
      </w:pPr>
    </w:p>
    <w:bookmarkStart w:id="86" w:name="page87"/>
    <w:bookmarkEnd w:id="86"/>
    <w:p>
      <w:pPr>
        <w:ind w:left="6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Important Information for Investors and Stockholders</w:t>
      </w:r>
    </w:p>
    <w:p>
      <w:pPr>
        <w:spacing w:after="0" w:line="82" w:lineRule="exact"/>
        <w:rPr>
          <w:sz w:val="20"/>
          <w:szCs w:val="20"/>
          <w:color w:val="auto"/>
        </w:rPr>
      </w:pPr>
    </w:p>
    <w:p>
      <w:pPr>
        <w:ind w:left="640" w:right="739"/>
        <w:spacing w:after="0" w:line="298" w:lineRule="auto"/>
        <w:rPr>
          <w:sz w:val="20"/>
          <w:szCs w:val="20"/>
          <w:color w:val="auto"/>
        </w:rPr>
      </w:pPr>
      <w:r>
        <w:rPr>
          <w:rFonts w:ascii="Arial" w:cs="Arial" w:eastAsia="Arial" w:hAnsi="Arial"/>
          <w:sz w:val="11"/>
          <w:szCs w:val="11"/>
          <w:color w:val="auto"/>
        </w:rPr>
        <w:t xml:space="preserve">This communication does not constitute an offer to buy or solicitation of an offer to sell any securities. In response to the tender offer for the shares of the Company commenced by IEP Utility Holdings LLC and Icahn Enterprises Holdings L.P., the Company has filed a solicitation/recommendation statement on Schedule 14D-9 with the SEC. INVESTORS AND STOCKHOLDERS OF SOUTHWEST GAS HOLDINGS ARE URGED TO READ THE SOLICITATION/RECOMMENDATION STATEMENT AND OTHER DOCUMENTS FILED WITH THE SEC CAREFULLY IN THEIR ENTIRETY BECAUSE THEY WILL CONTAIN IMPORTANT INFORMATION. Investors and stockholders may obtain a free copy of these documents free of charge at the SEC’s website at </w:t>
      </w:r>
      <w:r>
        <w:rPr>
          <w:rFonts w:ascii="Arial" w:cs="Arial" w:eastAsia="Arial" w:hAnsi="Arial"/>
          <w:sz w:val="11"/>
          <w:szCs w:val="11"/>
          <w:u w:val="single" w:color="auto"/>
          <w:color w:val="auto"/>
        </w:rPr>
        <w:t>www.sec.gov</w:t>
      </w:r>
      <w:r>
        <w:rPr>
          <w:rFonts w:ascii="Arial" w:cs="Arial" w:eastAsia="Arial" w:hAnsi="Arial"/>
          <w:sz w:val="11"/>
          <w:szCs w:val="11"/>
          <w:color w:val="auto"/>
        </w:rPr>
        <w:t xml:space="preserve">, and at the Company’s website at </w:t>
      </w:r>
      <w:r>
        <w:rPr>
          <w:rFonts w:ascii="Arial" w:cs="Arial" w:eastAsia="Arial" w:hAnsi="Arial"/>
          <w:sz w:val="11"/>
          <w:szCs w:val="11"/>
          <w:u w:val="single" w:color="auto"/>
          <w:color w:val="auto"/>
        </w:rPr>
        <w:t>www.swgasholdings.com</w:t>
      </w:r>
      <w:r>
        <w:rPr>
          <w:rFonts w:ascii="Arial" w:cs="Arial" w:eastAsia="Arial" w:hAnsi="Arial"/>
          <w:sz w:val="11"/>
          <w:szCs w:val="11"/>
          <w:color w:val="auto"/>
        </w:rPr>
        <w:t>. In addition, copies of these materials may be requested from the Company’s information agent, Innisfree M&amp;A Incorporated, toll-free at (877) 825-8621.</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Forward-Looking Statements</w:t>
      </w:r>
    </w:p>
    <w:p>
      <w:pPr>
        <w:spacing w:after="0" w:line="82" w:lineRule="exact"/>
        <w:rPr>
          <w:sz w:val="20"/>
          <w:szCs w:val="20"/>
          <w:color w:val="auto"/>
        </w:rPr>
      </w:pPr>
    </w:p>
    <w:p>
      <w:pPr>
        <w:ind w:left="640" w:right="679"/>
        <w:spacing w:after="0" w:line="290" w:lineRule="auto"/>
        <w:rPr>
          <w:sz w:val="20"/>
          <w:szCs w:val="20"/>
          <w:color w:val="auto"/>
        </w:rPr>
      </w:pPr>
      <w:r>
        <w:rPr>
          <w:rFonts w:ascii="Arial" w:cs="Arial" w:eastAsia="Arial" w:hAnsi="Arial"/>
          <w:sz w:val="11"/>
          <w:szCs w:val="11"/>
          <w:color w:val="auto"/>
        </w:rPr>
        <w:t>This document contains forward-looking statements within the meaning of Section 27A of the Securities Act of 1933, as amended, and Section 21E of the Securities Exchange Act of 1934, as amended. These statements are based on current expectations, estimates and projections about, among others, the industry, markets in which Southwest Gas Holdings, Inc. (the “Company,” “Southwest Gas Holdings,” “SWX,” or “we”) operates, and the matters described in this press release. While the Company’s management believes the assumptions underlying its forward-looking statements and information are reasonable, such information is necessarily subject to uncertainties and may involve certain risks, many of which are difficult to predict and are beyond the control of the Company’s management. A number of important factors affecting the business and financial results of the Company could cause actual results to differ materially from those stated in the forward-looking statements. These factors include, but are not limited to, the timing and amount of rate relief, changes in rate design, customer growth rates, the effects of regulation/deregulation, tax reform and related regulatory decisions, the impacts of construction activity at Centuri, future earnings trends, seasonal patterns, and the impacts of stock market volatility. In addition, the Company can provide no assurance that its discussions about future operating margin, operating income, pension costs, COLI results, and capital expenditures of the natural gas segment will occur. Likewise, the Company can provide no assurance that discussions regarding utility infrastructure services segment revenues, operating income as a percentage of revenues, interest expense, and noncontrolling interest amounts will transpire, nor assurance regarding acquisitions or their impacts, including management’s plans related thereto, such as that currently planned in regard to Riggs Distler &amp; Company, Inc. and the pending acquisition of Dominion Energy Questar Pipeline, LLC and related entities (the “Questar Pipeline Group”). Additional risks include the occurrence of any event, change or other circumstances that could give rise to the termination of the Sale and Purchase Agreement by and between Dominion Energy Questar Corporation and the Company (the “Questar Purchase Agreement”), the outcome of any legal proceedings that may be instituted against the Company and others following announcement of the Questar Purchase Agreement, risks that the proposed transaction disrupts current plans and operations, the risks related to the ability of the Company to integrate the Questar Pipeline Group, the amount of the costs, fees, expenses and charges related to the transaction and the actual terms of certain financings that will be obtained for the transaction, potential negative impacts to the Company’s credit ratings as a result of the transaction, the disruption to the Company’s stock price and the costs, fees, expenses and charges related to, and the distraction of management’s attention in connection with, any proxy contest or other stockholder related or similar matters, as well as other risks that are set forth under “Risk Factors” in the Company’s Annual Report on Form 10-K for the year ended December 31, 2020, the Company’s Quarterly Reports on Form 10-Q for the quarter ended June 30, 2021 and September 30, 2021 and in future filings with the SEC. All forward-looking statements speak only as of the date of this press release. All subsequent written and oral forward-looking statements attributable to the Company or any person acting on its behalf are qualified by the cautionary statements in this section. The Company undertakes no obligation to update or publicly release any revisions to forward-looking statements to reflect events, circumstances or changes in expectations after the date of this press release.</w:t>
      </w:r>
    </w:p>
    <w:p>
      <w:pPr>
        <w:sectPr>
          <w:pgSz w:w="11900" w:h="16838" w:orient="portrait"/>
          <w:cols w:equalWidth="0" w:num="1">
            <w:col w:w="9019"/>
          </w:cols>
          <w:pgMar w:left="1440" w:top="231" w:right="1440" w:bottom="1440" w:gutter="0" w:footer="0" w:header="0"/>
        </w:sectPr>
      </w:pPr>
    </w:p>
    <w:bookmarkStart w:id="87" w:name="page88"/>
    <w:bookmarkEnd w:id="87"/>
    <w:p>
      <w:pPr>
        <w:ind w:left="6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Participants in the Solicitation</w:t>
      </w:r>
    </w:p>
    <w:p>
      <w:pPr>
        <w:spacing w:after="0" w:line="82" w:lineRule="exact"/>
        <w:rPr>
          <w:sz w:val="20"/>
          <w:szCs w:val="20"/>
          <w:color w:val="auto"/>
        </w:rPr>
      </w:pPr>
    </w:p>
    <w:p>
      <w:pPr>
        <w:ind w:left="640" w:right="739"/>
        <w:spacing w:after="0" w:line="273" w:lineRule="auto"/>
        <w:rPr>
          <w:sz w:val="20"/>
          <w:szCs w:val="20"/>
          <w:color w:val="auto"/>
        </w:rPr>
      </w:pPr>
      <w:r>
        <w:rPr>
          <w:rFonts w:ascii="Arial" w:cs="Arial" w:eastAsia="Arial" w:hAnsi="Arial"/>
          <w:sz w:val="12"/>
          <w:szCs w:val="12"/>
          <w:color w:val="auto"/>
        </w:rPr>
        <w:t>The directors and officers of the Company may be deemed to be participants in the solicitation of proxies in connection with the Annual Meeting. Information regarding the Company’s directors and officers and their respective interests in the Company by security holdings or otherwise is available in its most recent Annual Report on Form 10-K filed with the SEC and its most recent definitive Proxy Statement on Schedule 14A filed with the SEC. Additional information regarding the interests of such potential participants is or will be included in the proxy statement for the Annual Meeting and other relevant materials to be filed with the SEC, when they become available.</w:t>
      </w:r>
    </w:p>
    <w:sectPr>
      <w:pgSz w:w="11900" w:h="16838" w:orient="portrait"/>
      <w:cols w:equalWidth="0" w:num="1">
        <w:col w:w="9019"/>
      </w:cols>
      <w:pgMar w:left="1440" w:top="2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
    <w:nsid w:val="5BD062C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877"/>
    </w:lvl>
  </w:abstractNum>
  <w:abstractNum w:abstractNumId="9">
    <w:nsid w:val="216231B"/>
    <w:multiLevelType w:val="hybridMultilevel"/>
    <w:lvl w:ilvl="0">
      <w:lvlJc w:val="left"/>
      <w:lvlText w:val="%1."/>
      <w:numFmt w:val="decimal"/>
      <w:start w:val="1"/>
    </w:lvl>
    <w:lvl w:ilvl="1">
      <w:lvlJc w:val="left"/>
      <w:lvlText w:val="•"/>
      <w:numFmt w:val="bullet"/>
      <w:start w:val="1"/>
    </w:lvl>
  </w:abstractNum>
  <w:abstractNum w:abstractNumId="10">
    <w:nsid w:val="1F16E9E8"/>
    <w:multiLevelType w:val="hybridMultilevel"/>
    <w:lvl w:ilvl="0">
      <w:lvlJc w:val="left"/>
      <w:lvlText w:val="%1."/>
      <w:numFmt w:val="decimal"/>
      <w:start w:val="5"/>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2021-11-09T17:15:16Z</dcterms:created>
  <dcterms:modified xsi:type="dcterms:W3CDTF">2021-11-09T17:15:16Z</dcterms:modified>
</cp:coreProperties>
</file>