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 (Amendment No. 20)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Southwest Gas Corporation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$1.00 Par Value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___________________844895102___________________</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line="238" w:lineRule="auto"/>
        <w:rPr>
          <w:sz w:val="20"/>
          <w:szCs w:val="20"/>
          <w:color w:val="auto"/>
        </w:rPr>
      </w:pPr>
      <w:r>
        <w:rPr>
          <w:rFonts w:ascii="Courier New" w:cs="Courier New" w:eastAsia="Courier New" w:hAnsi="Courier New"/>
          <w:sz w:val="18"/>
          <w:szCs w:val="18"/>
          <w:color w:val="auto"/>
        </w:rPr>
        <w:t>One Corporate Center</w:t>
      </w:r>
    </w:p>
    <w:p>
      <w:pPr>
        <w:spacing w:after="0"/>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ind w:right="4319"/>
        <w:spacing w:after="0" w:line="309"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______________________December 6, 2002______________________</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If the filing person has previously filed a statement on</w:t>
      </w:r>
    </w:p>
    <w:p>
      <w:pPr>
        <w:spacing w:after="0" w:line="31" w:lineRule="exact"/>
        <w:rPr>
          <w:sz w:val="24"/>
          <w:szCs w:val="24"/>
          <w:color w:val="auto"/>
        </w:rPr>
      </w:pPr>
    </w:p>
    <w:p>
      <w:pPr>
        <w:ind w:right="3259"/>
        <w:spacing w:after="0" w:line="262" w:lineRule="auto"/>
        <w:rPr>
          <w:sz w:val="20"/>
          <w:szCs w:val="20"/>
          <w:color w:val="auto"/>
        </w:rPr>
      </w:pPr>
      <w:r>
        <w:rPr>
          <w:rFonts w:ascii="Courier New" w:cs="Courier New" w:eastAsia="Courier New" w:hAnsi="Courier New"/>
          <w:sz w:val="18"/>
          <w:szCs w:val="18"/>
          <w:color w:val="auto"/>
        </w:rPr>
        <w:t>Schedule 13G to report the acquisition that is the subject of this Schedule 13D, and is filing this schedule because of Sections 240.13d-1(e), 240.13d-1(f) or 240.13d-1(g), check the following box 0.</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spacing w:after="0"/>
        <w:tabs>
          <w:tab w:leader="none" w:pos="3040" w:val="left"/>
        </w:tabs>
        <w:rPr>
          <w:sz w:val="20"/>
          <w:szCs w:val="20"/>
          <w:color w:val="auto"/>
        </w:rPr>
      </w:pPr>
      <w:r>
        <w:rPr>
          <w:rFonts w:ascii="Courier New" w:cs="Courier New" w:eastAsia="Courier New" w:hAnsi="Courier New"/>
          <w:sz w:val="18"/>
          <w:szCs w:val="18"/>
          <w:color w:val="auto"/>
        </w:rPr>
        <w:t>Gabelli Funds, LLC I.D. NO.</w:t>
      </w:r>
      <w:r>
        <w:rPr>
          <w:sz w:val="20"/>
          <w:szCs w:val="20"/>
          <w:color w:val="auto"/>
        </w:rPr>
        <w:tab/>
      </w:r>
      <w:r>
        <w:rPr>
          <w:rFonts w:ascii="Courier New" w:cs="Courier New" w:eastAsia="Courier New" w:hAnsi="Courier New"/>
          <w:sz w:val="16"/>
          <w:szCs w:val="16"/>
          <w:color w:val="auto"/>
        </w:rPr>
        <w:t>13-4044523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EACH</w:t>
      </w:r>
    </w:p>
    <w:p>
      <w:pPr>
        <w:sectPr>
          <w:pgSz w:w="11900" w:h="16838" w:orient="portrait"/>
          <w:cols w:equalWidth="0" w:num="1">
            <w:col w:w="10219"/>
          </w:cols>
          <w:pgMar w:left="240" w:top="8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846,500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846,500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8"/>
          <w:szCs w:val="18"/>
          <w:color w:val="auto"/>
        </w:rPr>
        <w:t>846,500</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CUSIP No. 844895102</w:t>
      </w: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SOURCE OF FUNDS (SEE INSTRUCTIONS)</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DISCLOSURE OF LEGAL PROCEEDINGS IS</w:t>
      </w:r>
    </w:p>
    <w:p>
      <w:pPr>
        <w:spacing w:after="0"/>
        <w:rPr>
          <w:sz w:val="20"/>
          <w:szCs w:val="20"/>
          <w:color w:val="auto"/>
        </w:rPr>
      </w:pPr>
      <w:r>
        <w:rPr>
          <w:rFonts w:ascii="Courier New" w:cs="Courier New" w:eastAsia="Courier New" w:hAnsi="Courier New"/>
          <w:sz w:val="18"/>
          <w:szCs w:val="18"/>
          <w:color w:val="auto"/>
        </w:rPr>
        <w:t>REQUIRED PURSUANT TO ITEMS 2 (d) OR 2 (e)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2,204,430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2,350,930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2,350,930</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ectPr>
          <w:pgSz w:w="11900" w:h="16838" w:orient="portrait"/>
          <w:cols w:equalWidth="0" w:num="1">
            <w:col w:w="10219"/>
          </w:cols>
          <w:pgMar w:left="240" w:top="110"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7.08%</w:t>
      </w:r>
    </w:p>
    <w:p>
      <w:pPr>
        <w:sectPr>
          <w:pgSz w:w="11900" w:h="16838" w:orient="portrait"/>
          <w:cols w:equalWidth="0" w:num="1">
            <w:col w:w="10219"/>
          </w:cols>
          <w:pgMar w:left="240" w:top="110"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Foundation, Inc.</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94-2975159</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N(SEE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DISCLOSURE OF LEGAL PROCEEDINGS IS</w:t>
      </w:r>
    </w:p>
    <w:p>
      <w:pPr>
        <w:spacing w:after="0"/>
        <w:rPr>
          <w:sz w:val="20"/>
          <w:szCs w:val="20"/>
          <w:color w:val="auto"/>
        </w:rPr>
      </w:pPr>
      <w:r>
        <w:rPr>
          <w:rFonts w:ascii="Courier New" w:cs="Courier New" w:eastAsia="Courier New" w:hAnsi="Courier New"/>
          <w:sz w:val="18"/>
          <w:szCs w:val="18"/>
          <w:color w:val="auto"/>
        </w:rPr>
        <w:t>REQUIRED PURSUANT TO ITEMS 2 (d) OR 2 (e)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(ITEM 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00-PRIVATE FOUNDATION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ind w:right="4199"/>
        <w:spacing w:after="0" w:line="257" w:lineRule="auto"/>
        <w:rPr>
          <w:sz w:val="20"/>
          <w:szCs w:val="20"/>
          <w:color w:val="auto"/>
        </w:rPr>
      </w:pPr>
      <w:r>
        <w:rPr>
          <w:rFonts w:ascii="Courier New" w:cs="Courier New" w:eastAsia="Courier New" w:hAnsi="Courier New"/>
          <w:sz w:val="18"/>
          <w:szCs w:val="18"/>
          <w:color w:val="auto"/>
        </w:rPr>
        <w:t>Gabelli Group Capital Partners, Inc. I.D. NO. 13-3056041 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10"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13-4007862</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1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Marc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2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DISCLOSURE OF LEGAL PROCEEDINGS IS</w:t>
      </w:r>
    </w:p>
    <w:p>
      <w:pPr>
        <w:spacing w:after="0"/>
        <w:rPr>
          <w:sz w:val="20"/>
          <w:szCs w:val="20"/>
          <w:color w:val="auto"/>
        </w:rPr>
      </w:pPr>
      <w:r>
        <w:rPr>
          <w:rFonts w:ascii="Courier New" w:cs="Courier New" w:eastAsia="Courier New" w:hAnsi="Courier New"/>
          <w:sz w:val="18"/>
          <w:szCs w:val="18"/>
          <w:color w:val="auto"/>
        </w:rPr>
        <w:t>REQUIRED PURSUANT TO ITEMS 2 (d) OR 2 (e)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0" w:right="1440" w:bottom="127" w:gutter="0" w:footer="0" w:header="0"/>
        </w:sectPr>
      </w:pPr>
    </w:p>
    <w:bookmarkStart w:id="8" w:name="page9"/>
    <w:bookmarkEnd w:id="8"/>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844895102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BOX IF DISCLOSURE OF LEGAL PROCEEDINGS IS</w:t>
      </w:r>
    </w:p>
    <w:p>
      <w:pPr>
        <w:spacing w:after="0"/>
        <w:rPr>
          <w:sz w:val="20"/>
          <w:szCs w:val="20"/>
          <w:color w:val="auto"/>
        </w:rPr>
      </w:pPr>
      <w:r>
        <w:rPr>
          <w:rFonts w:ascii="Courier New" w:cs="Courier New" w:eastAsia="Courier New" w:hAnsi="Courier New"/>
          <w:sz w:val="18"/>
          <w:szCs w:val="18"/>
          <w:color w:val="auto"/>
        </w:rPr>
        <w:t>REQUIRED PURSUANT TO ITEMS 2 (d) OR 2 (e)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VOTING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374" w:lineRule="exact"/>
        <w:rPr>
          <w:sz w:val="20"/>
          <w:szCs w:val="20"/>
          <w:color w:val="auto"/>
        </w:rPr>
      </w:pPr>
    </w:p>
    <w:p>
      <w:pPr>
        <w:ind w:right="2939"/>
        <w:spacing w:after="0" w:line="257"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No. 20 to Schedule 13D on the Common Stock of</w:t>
      </w:r>
    </w:p>
    <w:p>
      <w:pPr>
        <w:ind w:right="2199"/>
        <w:spacing w:after="0" w:line="256" w:lineRule="auto"/>
        <w:rPr>
          <w:sz w:val="20"/>
          <w:szCs w:val="20"/>
          <w:color w:val="auto"/>
        </w:rPr>
      </w:pPr>
      <w:r>
        <w:rPr>
          <w:rFonts w:ascii="Courier New" w:cs="Courier New" w:eastAsia="Courier New" w:hAnsi="Courier New"/>
          <w:sz w:val="18"/>
          <w:szCs w:val="18"/>
          <w:color w:val="auto"/>
        </w:rPr>
        <w:t>Southwest Gas Corporation (the "Issuer") is being filed on behalf of the undersigned to amend the Schedule 13D, as amended (the "Schedule 13D") which was originally filed on February 18, 1997. Unless otherwise indicated, all capitalized terms used herein but not defined herein shall have the same meanings as set forth in the Schedule 13D.</w:t>
      </w:r>
    </w:p>
    <w:p>
      <w:pPr>
        <w:spacing w:after="0" w:line="9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31" w:lineRule="exact"/>
        <w:rPr>
          <w:sz w:val="20"/>
          <w:szCs w:val="20"/>
          <w:color w:val="auto"/>
        </w:rPr>
      </w:pPr>
    </w:p>
    <w:p>
      <w:pPr>
        <w:ind w:right="1879" w:firstLine="1686"/>
        <w:spacing w:after="0" w:line="238" w:lineRule="auto"/>
        <w:rPr>
          <w:sz w:val="20"/>
          <w:szCs w:val="20"/>
          <w:color w:val="auto"/>
        </w:rPr>
      </w:pPr>
      <w:r>
        <w:rPr>
          <w:rFonts w:ascii="Courier New" w:cs="Courier New" w:eastAsia="Courier New" w:hAnsi="Courier New"/>
          <w:sz w:val="18"/>
          <w:szCs w:val="18"/>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and Lynch Interactive Corporation ("Interactive"),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4"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87" w:lineRule="exact"/>
        <w:rPr>
          <w:sz w:val="20"/>
          <w:szCs w:val="20"/>
          <w:color w:val="auto"/>
        </w:rPr>
      </w:pPr>
    </w:p>
    <w:p>
      <w:pPr>
        <w:ind w:right="1999" w:firstLine="843"/>
        <w:spacing w:after="0" w:line="246"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Gabelli Group Capital Partners, Inc. ("Gabelli Partners"), Gabelli Asset Management Inc. ("GAMI"), Gabelli Funds, LLC ("Gabelli Funds"), GAMCO Investors, Inc. ("GAMCO"), Gabelli Advisers, Inc. ("Gabelli Advisers"), Gabelli Securities, Inc. ("GSI"), Gabelli &amp; Company, Inc. ("Gabelli &amp; Company"), Gabelli &amp; Company, Inc. Profit Sharing Plan (the "Plan"), MJG Associates, Inc. ("MJG Associates"), Gemini Capital Management LLC ("Gemini"), Gabelli Foundation, Inc. ("Foundation"), Mario Gabelli, Marc Gabelli, Lynch, and Interactive. Those of the foregoing persons signing this Schedule 13D are hereafter referred to as the "Reporting Persons".</w:t>
      </w:r>
    </w:p>
    <w:p>
      <w:pPr>
        <w:sectPr>
          <w:pgSz w:w="11900" w:h="16838" w:orient="portrait"/>
          <w:cols w:equalWidth="0" w:num="1">
            <w:col w:w="10219"/>
          </w:cols>
          <w:pgMar w:left="240" w:top="110" w:right="1440" w:bottom="0" w:gutter="0" w:footer="0" w:header="0"/>
        </w:sectPr>
      </w:pPr>
    </w:p>
    <w:bookmarkStart w:id="10" w:name="page11"/>
    <w:bookmarkEnd w:id="10"/>
    <w:p>
      <w:pPr>
        <w:ind w:right="1779" w:firstLine="843"/>
        <w:spacing w:after="0" w:line="24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spacing w:after="0" w:line="3"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2"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GSI, a majority-owned subsidiary of GAMI, acts as a general partner or investment manager to limited partnerships and offshore investment companies and as a part of its business regularly purchases and sells securities for its own account. It is the immediate parent of Gabelli &amp; Company. GSI is the Investment Manager of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the investment advisor of Gabelli International Gold Fund Limited and Gabelli European Partners, Ltd. GSIL and Gemini are the investment advisors of Gabelli Global Partners, Ltd.</w:t>
      </w:r>
    </w:p>
    <w:p>
      <w:pPr>
        <w:spacing w:after="0" w:line="2"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Gabelli Funds, a wholly owned subsidiary of GAMI, is a limited liability company. Gabelli Funds is an investment adviser registered under the Advisers Act which presently provides discretionary managed account services for The Gabelli Equity Trust Inc., The Gabelli Asset Fund, The Gabelli Growth Fund, The Gabelli Convertible and Income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The Gabelli Blue Chip Value Fund, The Gabelli Mathers Fund, The Comstock Capital Value Fund and The Comstock Strategy Fund (collectively, the "Funds"), which are registered investment companies.</w:t>
      </w:r>
    </w:p>
    <w:p>
      <w:pPr>
        <w:spacing w:after="0" w:line="5" w:lineRule="exact"/>
        <w:rPr>
          <w:sz w:val="20"/>
          <w:szCs w:val="20"/>
          <w:color w:val="auto"/>
        </w:rPr>
      </w:pPr>
    </w:p>
    <w:p>
      <w:pPr>
        <w:jc w:val="both"/>
        <w:ind w:right="1879" w:firstLine="843"/>
        <w:spacing w:after="0" w:line="238" w:lineRule="auto"/>
        <w:rPr>
          <w:sz w:val="20"/>
          <w:szCs w:val="20"/>
          <w:color w:val="auto"/>
        </w:rPr>
      </w:pPr>
      <w:r>
        <w:rPr>
          <w:rFonts w:ascii="Courier New" w:cs="Courier New" w:eastAsia="Courier New" w:hAnsi="Courier New"/>
          <w:sz w:val="18"/>
          <w:szCs w:val="18"/>
          <w:color w:val="auto"/>
        </w:rPr>
        <w:t>Gabelli Advisers, a subsidiary of GAMI, is an investment adviser which provides discretionary advisory services to The Gabelli Westwood Mighty Mitessm Fund.</w:t>
      </w:r>
    </w:p>
    <w:p>
      <w:pPr>
        <w:spacing w:after="0" w:line="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GAMI and its affiliates.</w:t>
      </w:r>
    </w:p>
    <w:p>
      <w:pPr>
        <w:spacing w:after="0" w:line="1" w:lineRule="exact"/>
        <w:rPr>
          <w:sz w:val="20"/>
          <w:szCs w:val="20"/>
          <w:color w:val="auto"/>
        </w:rPr>
      </w:pPr>
    </w:p>
    <w:p>
      <w:pPr>
        <w:ind w:right="2319" w:firstLine="843"/>
        <w:spacing w:after="0" w:line="238"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Gabelli Performance Partnership, and Gabelli Fund, LDC.</w:t>
      </w:r>
    </w:p>
    <w:p>
      <w:pPr>
        <w:spacing w:after="0" w:line="2"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Gemini is a limited liability company whose primary business purpose is to provide advisory services to offshore funds. Marc Gabelli is the President and Chief Investment Officer of Gemini.</w:t>
      </w:r>
    </w:p>
    <w:p>
      <w:pPr>
        <w:spacing w:after="0" w:line="1"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Foundation is a private foundation. Mario Gabelli is the President, a Trustee and the Investment Manager of the Foundation.</w:t>
      </w:r>
    </w:p>
    <w:p>
      <w:pPr>
        <w:spacing w:after="0" w:line="1"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Lynch is a public company traded on the American Stock Exchange engaged in manufacturing. Interactive is a public company listed on the American Stock Exchange and is a holding company with operating subsidiaries engaged primarily in the rural telephone industry. Lynch and Interactive actively pursue new business ventures and acquisitions. Lynch and Interactive make investments in marketable securities to preserve capital and maintain liquidity for financing their business activities and acquisitions and are not engaged in the business of investing, reinvesting, or trading in securities. Mario J. Gabelli is a director, officer and a substantial shareholder of Lynch and Interactive.</w:t>
      </w:r>
    </w:p>
    <w:p>
      <w:pPr>
        <w:spacing w:after="0" w:line="2"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Mario Gabelli is the majority stockholder and Chairman of the Board of Directors and Chief Executive Officer of Gabelli Partners and GAMI, and the Chief Investment Officer for each of the Reporting Persons other than Gemini. Gabelli Partners is the majority shareholder of GAMI. GAMI, in turn, is the sole stockholder of GAMCO. GAMI is also the majority stockholder of GSI and the largest shareholder of Gabelli Advisers. Gabelli &amp; Company is a wholly-owned subsidiary of GSI. Marc Gabelli is the majority stockholder of Gemini.</w:t>
      </w:r>
    </w:p>
    <w:p>
      <w:pPr>
        <w:spacing w:after="0" w:line="1" w:lineRule="exact"/>
        <w:rPr>
          <w:sz w:val="20"/>
          <w:szCs w:val="20"/>
          <w:color w:val="auto"/>
        </w:rPr>
      </w:pPr>
    </w:p>
    <w:p>
      <w:pPr>
        <w:jc w:val="right"/>
        <w:ind w:right="251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Gabelli Partners, GAMI, GAMCO, and Gabelli &amp; Company are New York corporations and GSI and Gabelli Advisers are Delaware corporations, each</w:t>
      </w:r>
    </w:p>
    <w:p>
      <w:pPr>
        <w:spacing w:after="0" w:line="1"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having its principal business office at One Corporate Center, Rye, New York 10580. Gabelli Funds is a New York limited liability company having its principal business office at One Corporate Center, Rye, New York 10580. MJG Associates is a Connecticut corporation having its principal business office at 8 Sound Shore Dr., Greenwich, CT 06830. Gemini is a Delaware limited liability company having its principal business office at One Corporate Center, Rye, New York 10580. The Foundation is a Nevada corporation having its principal offices at 165 West Liberty Street, Reno, Nevada 89501. Lynch is an Indiana corporation having its principal business office at 50 Kennedy Plaza, Suite</w:t>
      </w:r>
    </w:p>
    <w:p>
      <w:pPr>
        <w:sectPr>
          <w:pgSz w:w="11900" w:h="16838" w:orient="portrait"/>
          <w:cols w:equalWidth="0" w:num="1">
            <w:col w:w="10219"/>
          </w:cols>
          <w:pgMar w:left="240" w:top="110" w:right="1440" w:bottom="0" w:gutter="0" w:footer="0" w:header="0"/>
        </w:sectPr>
      </w:pPr>
    </w:p>
    <w:bookmarkStart w:id="11" w:name="page12"/>
    <w:bookmarkEnd w:id="11"/>
    <w:p>
      <w:pPr>
        <w:jc w:val="both"/>
        <w:ind w:right="2099"/>
        <w:spacing w:after="0" w:line="250" w:lineRule="auto"/>
        <w:rPr>
          <w:sz w:val="20"/>
          <w:szCs w:val="20"/>
          <w:color w:val="auto"/>
        </w:rPr>
      </w:pPr>
      <w:r>
        <w:rPr>
          <w:rFonts w:ascii="Courier New" w:cs="Courier New" w:eastAsia="Courier New" w:hAnsi="Courier New"/>
          <w:sz w:val="18"/>
          <w:szCs w:val="18"/>
          <w:color w:val="auto"/>
        </w:rPr>
        <w:t>1250, Providence, Rhode Island 02903. Interactive is a Delaware corporation having its principal place of business at One Corporate Center, Rye, New York 10580.</w:t>
      </w:r>
    </w:p>
    <w:p>
      <w:pPr>
        <w:spacing w:after="0" w:line="3" w:lineRule="exact"/>
        <w:rPr>
          <w:sz w:val="20"/>
          <w:szCs w:val="20"/>
          <w:color w:val="auto"/>
        </w:rPr>
      </w:pPr>
    </w:p>
    <w:p>
      <w:pPr>
        <w:ind w:right="1679" w:firstLine="843"/>
        <w:spacing w:after="0" w:line="238"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left="2220" w:hanging="526"/>
        <w:spacing w:after="0"/>
        <w:tabs>
          <w:tab w:leader="none" w:pos="2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to Schedule 13D is amended, in pertinent part, as follows:</w:t>
      </w:r>
    </w:p>
    <w:p>
      <w:pPr>
        <w:spacing w:after="0" w:line="238" w:lineRule="auto"/>
        <w:rPr>
          <w:sz w:val="20"/>
          <w:szCs w:val="20"/>
          <w:color w:val="auto"/>
        </w:rPr>
      </w:pPr>
      <w:r>
        <w:rPr>
          <w:rFonts w:ascii="Courier New" w:cs="Courier New" w:eastAsia="Courier New" w:hAnsi="Courier New"/>
          <w:sz w:val="18"/>
          <w:szCs w:val="18"/>
          <w:color w:val="auto"/>
        </w:rPr>
        <w:t>GAMCO submitted a shareholder proposal pursuant to Rule 14a-8 under</w:t>
      </w:r>
    </w:p>
    <w:p>
      <w:pPr>
        <w:ind w:right="2099"/>
        <w:spacing w:after="0" w:line="250" w:lineRule="auto"/>
        <w:rPr>
          <w:sz w:val="20"/>
          <w:szCs w:val="20"/>
          <w:color w:val="auto"/>
        </w:rPr>
      </w:pPr>
      <w:r>
        <w:rPr>
          <w:rFonts w:ascii="Courier New" w:cs="Courier New" w:eastAsia="Courier New" w:hAnsi="Courier New"/>
          <w:sz w:val="18"/>
          <w:szCs w:val="18"/>
          <w:color w:val="auto"/>
        </w:rPr>
        <w:t>the Securities Exchange Act of 1934 to be included in the proxy and proxy statement for the Issuer's next annual meeting of stockholders. The proposal urges the Issuer's Board of Directors to redeem the rights issued pursuant to its poison pill or submit the issue to a vote of the shareholders as soon as practical. GAMCO, consistent with applicable laws and regulations, may discuss its proposal with a limited number of institutional shareholders and others.</w:t>
      </w:r>
    </w:p>
    <w:p>
      <w:pPr>
        <w:spacing w:after="0" w:line="1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3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Item 5 to Schedule 13D is amended, in pertinent part, as follows:</w:t>
      </w:r>
    </w:p>
    <w:p>
      <w:pPr>
        <w:spacing w:after="0" w:line="21" w:lineRule="exact"/>
        <w:rPr>
          <w:sz w:val="20"/>
          <w:szCs w:val="20"/>
          <w:color w:val="auto"/>
        </w:rPr>
      </w:pPr>
    </w:p>
    <w:p>
      <w:pPr>
        <w:ind w:right="2099" w:firstLine="8"/>
        <w:spacing w:after="0" w:line="25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of Securities to which this Schedule 13D relates is 3,207,430 shares, representing 9.66% of the 33,204,416 shares outstanding as reported in the Issuer's most recent Form 10-Q for the quarter ended September 30, 2002. The Reporting Persons beneficially own those Securities as follows: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right="8839" w:firstLine="8"/>
        <w:spacing w:after="0" w:line="238"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Class of Common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GAMCO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2,350,930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7.08%</w:t>
      </w:r>
    </w:p>
    <w:p>
      <w:pPr>
        <w:spacing w:after="0"/>
        <w:rPr>
          <w:sz w:val="20"/>
          <w:szCs w:val="20"/>
          <w:color w:val="auto"/>
        </w:rPr>
      </w:pPr>
      <w:r>
        <w:rPr>
          <w:rFonts w:ascii="Courier New" w:cs="Courier New" w:eastAsia="Courier New" w:hAnsi="Courier New"/>
          <w:sz w:val="18"/>
          <w:szCs w:val="18"/>
          <w:color w:val="auto"/>
        </w:rPr>
        <w:t>Gabelli Funds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846,500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2.55%</w:t>
      </w:r>
    </w:p>
    <w:p>
      <w:pPr>
        <w:spacing w:after="0"/>
        <w:rPr>
          <w:sz w:val="20"/>
          <w:szCs w:val="20"/>
          <w:color w:val="auto"/>
        </w:rPr>
      </w:pPr>
      <w:r>
        <w:rPr>
          <w:rFonts w:ascii="Courier New" w:cs="Courier New" w:eastAsia="Courier New" w:hAnsi="Courier New"/>
          <w:sz w:val="18"/>
          <w:szCs w:val="18"/>
          <w:color w:val="auto"/>
        </w:rPr>
        <w:t>Foundation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 is deemed to have beneficial ownership of the</w:t>
      </w:r>
    </w:p>
    <w:p>
      <w:pPr>
        <w:spacing w:after="0" w:line="3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Securities owned beneficially by each of the foregoing persons other than Marc Gabelli and Gemini. Marc Gabelli is deemed to have beneficial ownership of the Securities owned by Gemini. GSI is deemed to have beneficial ownership of the Securities beneficially owned by Gabelli &amp; Company. GAMI and Gabelli Partners are deemed to have beneficial ownership of the Securities owned beneficially by each of the foregoing persons other than Mario Gabelli, Marc Gabelli, Gemini and the Foundation.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Each of the Reporting Persons and Covered Persons has the sole</w:t>
      </w:r>
    </w:p>
    <w:p>
      <w:pPr>
        <w:ind w:right="1879"/>
        <w:spacing w:after="0" w:line="277" w:lineRule="auto"/>
        <w:rPr>
          <w:sz w:val="20"/>
          <w:szCs w:val="20"/>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146,500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Marc Gabelli, GAMI, and Gabelli Partners is indirect with</w:t>
      </w:r>
    </w:p>
    <w:p>
      <w:pPr>
        <w:sectPr>
          <w:pgSz w:w="11900" w:h="16838" w:orient="portrait"/>
          <w:cols w:equalWidth="0" w:num="1">
            <w:col w:w="10219"/>
          </w:cols>
          <w:pgMar w:left="240" w:top="11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respect to Securities beneficially owned directly by other Reporting Persons.</w:t>
      </w:r>
    </w:p>
    <w:p>
      <w:pPr>
        <w:spacing w:after="0" w:line="5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999" w:firstLine="843"/>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6,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rPr>
          <w:sz w:val="20"/>
          <w:szCs w:val="20"/>
          <w:color w:val="auto"/>
        </w:rPr>
      </w:pPr>
      <w:r>
        <w:rPr>
          <w:rFonts w:ascii="Courier New" w:cs="Courier New" w:eastAsia="Courier New" w:hAnsi="Courier New"/>
          <w:sz w:val="18"/>
          <w:szCs w:val="18"/>
          <w:color w:val="auto"/>
        </w:rPr>
        <w:t>GABELLI FOUNDATION,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E. McKee</w:t>
      </w:r>
    </w:p>
    <w:p>
      <w:pPr>
        <w:ind w:left="420"/>
        <w:spacing w:after="0"/>
        <w:rPr>
          <w:sz w:val="20"/>
          <w:szCs w:val="20"/>
          <w:color w:val="auto"/>
        </w:rPr>
      </w:pPr>
      <w:r>
        <w:rPr>
          <w:rFonts w:ascii="Courier New" w:cs="Courier New" w:eastAsia="Courier New" w:hAnsi="Courier New"/>
          <w:sz w:val="18"/>
          <w:szCs w:val="18"/>
          <w:color w:val="auto"/>
        </w:rPr>
        <w:t>Attorney-in-Fact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INC.</w:t>
      </w:r>
    </w:p>
    <w:p>
      <w:pPr>
        <w:spacing w:after="0"/>
        <w:rPr>
          <w:sz w:val="20"/>
          <w:szCs w:val="20"/>
          <w:color w:val="auto"/>
        </w:rPr>
      </w:pPr>
      <w:r>
        <w:rPr>
          <w:rFonts w:ascii="Courier New" w:cs="Courier New" w:eastAsia="Courier New" w:hAnsi="Courier New"/>
          <w:sz w:val="18"/>
          <w:szCs w:val="18"/>
          <w:color w:val="auto"/>
        </w:rPr>
        <w:t>GABELLI FUNDS, LLC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James E. McKee</w:t>
      </w:r>
    </w:p>
    <w:p>
      <w:pPr>
        <w:ind w:left="3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Douglas R. Jamieson</w:t>
      </w:r>
    </w:p>
    <w:p>
      <w:pPr>
        <w:ind w:left="320"/>
        <w:spacing w:after="0"/>
        <w:rPr>
          <w:sz w:val="20"/>
          <w:szCs w:val="20"/>
          <w:color w:val="auto"/>
        </w:rPr>
      </w:pPr>
      <w:r>
        <w:rPr>
          <w:rFonts w:ascii="Courier New" w:cs="Courier New" w:eastAsia="Courier New" w:hAnsi="Courier New"/>
          <w:sz w:val="18"/>
          <w:szCs w:val="18"/>
          <w:color w:val="auto"/>
        </w:rPr>
        <w:t>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 and Directors of the Undersigned</w:t>
      </w:r>
    </w:p>
    <w:p>
      <w:pPr>
        <w:spacing w:after="0" w:line="169"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Schedule I to Schedule 13D is amended, in pertinent part, as follows:</w:t>
      </w:r>
    </w:p>
    <w:p>
      <w:pPr>
        <w:spacing w:after="0" w:line="18"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Gabelli Group Capital Partners, Inc., Gabelli Asset Management Inc., Gabelli Funds, LLC,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Group Capital Partners,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and Chief Investment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Gabelli Group Capital Partners, Inc.,</w:t>
      </w:r>
    </w:p>
    <w:p>
      <w:pPr>
        <w:spacing w:after="0"/>
        <w:rPr>
          <w:sz w:val="20"/>
          <w:szCs w:val="20"/>
          <w:color w:val="auto"/>
        </w:rPr>
      </w:pPr>
      <w:r>
        <w:rPr>
          <w:rFonts w:ascii="Courier New" w:cs="Courier New" w:eastAsia="Courier New" w:hAnsi="Courier New"/>
          <w:sz w:val="18"/>
          <w:szCs w:val="18"/>
          <w:color w:val="auto"/>
        </w:rPr>
        <w:t>Gabelli Asset Management Inc., and GAMCO</w:t>
      </w:r>
    </w:p>
    <w:p>
      <w:pPr>
        <w:sectPr>
          <w:pgSz w:w="11900" w:h="16838" w:orient="portrait"/>
          <w:cols w:equalWidth="0" w:num="1">
            <w:col w:w="10219"/>
          </w:cols>
          <w:pgMar w:left="240" w:top="110" w:right="1440" w:bottom="0" w:gutter="0" w:footer="0" w:header="0"/>
        </w:sectPr>
      </w:pPr>
    </w:p>
    <w:bookmarkStart w:id="13" w:name="page14"/>
    <w:bookmarkEnd w:id="13"/>
    <w:p>
      <w:pPr>
        <w:ind w:right="4939"/>
        <w:spacing w:after="0" w:line="265" w:lineRule="auto"/>
        <w:rPr>
          <w:sz w:val="20"/>
          <w:szCs w:val="20"/>
          <w:color w:val="auto"/>
        </w:rPr>
      </w:pPr>
      <w:r>
        <w:rPr>
          <w:rFonts w:ascii="Courier New" w:cs="Courier New" w:eastAsia="Courier New" w:hAnsi="Courier New"/>
          <w:sz w:val="18"/>
          <w:szCs w:val="18"/>
          <w:color w:val="auto"/>
        </w:rPr>
        <w:t>Investors, Inc.; Director/Trustee of all registered investment companies advised by Gabelli Funds, LLC; Chairman and Chief Executive Officer of Lynch Interactive Corporation; Vice Chairman of Lynch Corporation.</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Black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Chairman of the Board of Directors of Oak</w:t>
      </w:r>
    </w:p>
    <w:p>
      <w:pPr>
        <w:spacing w:after="0" w:line="238" w:lineRule="auto"/>
        <w:rPr>
          <w:sz w:val="20"/>
          <w:szCs w:val="20"/>
          <w:color w:val="auto"/>
        </w:rPr>
      </w:pPr>
      <w:r>
        <w:rPr>
          <w:rFonts w:ascii="Courier New" w:cs="Courier New" w:eastAsia="Courier New" w:hAnsi="Courier New"/>
          <w:sz w:val="18"/>
          <w:szCs w:val="18"/>
          <w:color w:val="auto"/>
        </w:rPr>
        <w:t>Technology, Inc.; Chairman of ECRM; Director of</w:t>
      </w:r>
    </w:p>
    <w:p>
      <w:pPr>
        <w:spacing w:after="0"/>
        <w:rPr>
          <w:sz w:val="20"/>
          <w:szCs w:val="20"/>
          <w:color w:val="auto"/>
        </w:rPr>
      </w:pPr>
      <w:r>
        <w:rPr>
          <w:rFonts w:ascii="Courier New" w:cs="Courier New" w:eastAsia="Courier New" w:hAnsi="Courier New"/>
          <w:sz w:val="18"/>
          <w:szCs w:val="18"/>
          <w:color w:val="auto"/>
        </w:rPr>
        <w:t>The Morgan Group, Inc.; General Partner of KBA</w:t>
      </w:r>
    </w:p>
    <w:p>
      <w:pPr>
        <w:spacing w:after="0" w:line="238" w:lineRule="auto"/>
        <w:rPr>
          <w:sz w:val="20"/>
          <w:szCs w:val="20"/>
          <w:color w:val="auto"/>
        </w:rPr>
      </w:pPr>
      <w:r>
        <w:rPr>
          <w:rFonts w:ascii="Courier New" w:cs="Courier New" w:eastAsia="Courier New" w:hAnsi="Courier New"/>
          <w:sz w:val="18"/>
          <w:szCs w:val="18"/>
          <w:color w:val="auto"/>
        </w:rPr>
        <w:t>Partners</w:t>
      </w:r>
    </w:p>
    <w:p>
      <w:pPr>
        <w:spacing w:after="0"/>
        <w:rPr>
          <w:sz w:val="20"/>
          <w:szCs w:val="20"/>
          <w:color w:val="auto"/>
        </w:rPr>
      </w:pPr>
      <w:r>
        <w:rPr>
          <w:rFonts w:ascii="Courier New" w:cs="Courier New" w:eastAsia="Courier New" w:hAnsi="Courier New"/>
          <w:sz w:val="18"/>
          <w:szCs w:val="18"/>
          <w:color w:val="auto"/>
        </w:rPr>
        <w:t>Parker Plaza</w:t>
      </w:r>
    </w:p>
    <w:p>
      <w:pPr>
        <w:spacing w:after="0" w:line="238" w:lineRule="auto"/>
        <w:rPr>
          <w:sz w:val="20"/>
          <w:szCs w:val="20"/>
          <w:color w:val="auto"/>
        </w:rPr>
      </w:pPr>
      <w:r>
        <w:rPr>
          <w:rFonts w:ascii="Courier New" w:cs="Courier New" w:eastAsia="Courier New" w:hAnsi="Courier New"/>
          <w:sz w:val="18"/>
          <w:szCs w:val="18"/>
          <w:color w:val="auto"/>
        </w:rPr>
        <w:t>400 Kelby Street</w:t>
      </w:r>
    </w:p>
    <w:p>
      <w:pPr>
        <w:spacing w:after="0"/>
        <w:tabs>
          <w:tab w:leader="none" w:pos="1560" w:val="left"/>
        </w:tabs>
        <w:rPr>
          <w:sz w:val="20"/>
          <w:szCs w:val="20"/>
          <w:color w:val="auto"/>
        </w:rPr>
      </w:pPr>
      <w:r>
        <w:rPr>
          <w:rFonts w:ascii="Courier New" w:cs="Courier New" w:eastAsia="Courier New" w:hAnsi="Courier New"/>
          <w:sz w:val="18"/>
          <w:szCs w:val="18"/>
          <w:color w:val="auto"/>
        </w:rPr>
        <w:t>Fort Lee, NJ</w:t>
        <w:tab/>
        <w:t>07029</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C. Baum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Director and Chief Executive Officer of</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Morgan Group, Inc.; Secretary &amp; Treasurer</w:t>
      </w:r>
    </w:p>
    <w:p>
      <w:pPr>
        <w:spacing w:after="0" w:line="238" w:lineRule="auto"/>
        <w:rPr>
          <w:sz w:val="20"/>
          <w:szCs w:val="20"/>
          <w:color w:val="auto"/>
        </w:rPr>
      </w:pPr>
      <w:r>
        <w:rPr>
          <w:rFonts w:ascii="Courier New" w:cs="Courier New" w:eastAsia="Courier New" w:hAnsi="Courier New"/>
          <w:sz w:val="18"/>
          <w:szCs w:val="18"/>
          <w:color w:val="auto"/>
        </w:rPr>
        <w:t>United Holdings Co., Inc.</w:t>
      </w:r>
    </w:p>
    <w:p>
      <w:pPr>
        <w:spacing w:after="0"/>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Frederic V. Salerno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Former Vice Chairman</w:t>
      </w:r>
    </w:p>
    <w:p>
      <w:pPr>
        <w:spacing w:after="0" w:line="238" w:lineRule="auto"/>
        <w:rPr>
          <w:sz w:val="20"/>
          <w:szCs w:val="20"/>
          <w:color w:val="auto"/>
        </w:rPr>
      </w:pPr>
      <w:r>
        <w:rPr>
          <w:rFonts w:ascii="Courier New" w:cs="Courier New" w:eastAsia="Courier New" w:hAnsi="Courier New"/>
          <w:sz w:val="18"/>
          <w:szCs w:val="18"/>
          <w:color w:val="auto"/>
        </w:rPr>
        <w:t>Verizon Communications, Inc.</w:t>
      </w:r>
    </w:p>
    <w:p>
      <w:pPr>
        <w:spacing w:after="0"/>
        <w:rPr>
          <w:sz w:val="20"/>
          <w:szCs w:val="20"/>
          <w:color w:val="auto"/>
        </w:rPr>
      </w:pPr>
      <w:r>
        <w:rPr>
          <w:rFonts w:ascii="Courier New" w:cs="Courier New" w:eastAsia="Courier New" w:hAnsi="Courier New"/>
          <w:sz w:val="18"/>
          <w:szCs w:val="18"/>
          <w:color w:val="auto"/>
        </w:rPr>
        <w:t>1095 Avenue of the Americas</w:t>
      </w:r>
    </w:p>
    <w:p>
      <w:pPr>
        <w:spacing w:after="0"/>
        <w:rPr>
          <w:sz w:val="20"/>
          <w:szCs w:val="20"/>
          <w:color w:val="auto"/>
        </w:rPr>
      </w:pPr>
      <w:r>
        <w:rPr>
          <w:rFonts w:ascii="Courier New" w:cs="Courier New" w:eastAsia="Courier New" w:hAnsi="Courier New"/>
          <w:sz w:val="18"/>
          <w:szCs w:val="18"/>
          <w:color w:val="auto"/>
        </w:rPr>
        <w:t>New York, New York 10036</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Arnold M. Reichman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Managing Director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Matthew R.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Trading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One Corporate Center</w:t>
      </w:r>
    </w:p>
    <w:p>
      <w:pPr>
        <w:spacing w:after="0"/>
        <w:rPr>
          <w:sz w:val="20"/>
          <w:szCs w:val="20"/>
          <w:color w:val="auto"/>
        </w:rPr>
      </w:pPr>
      <w:r>
        <w:rPr>
          <w:rFonts w:ascii="Courier New" w:cs="Courier New" w:eastAsia="Courier New" w:hAnsi="Courier New"/>
          <w:sz w:val="18"/>
          <w:szCs w:val="18"/>
          <w:color w:val="auto"/>
        </w:rPr>
        <w:t>Rye, New York 10580</w:t>
      </w:r>
    </w:p>
    <w:p>
      <w:pPr>
        <w:spacing w:after="0"/>
        <w:rPr>
          <w:sz w:val="20"/>
          <w:szCs w:val="20"/>
          <w:color w:val="auto"/>
        </w:rPr>
      </w:pPr>
      <w:r>
        <w:rPr>
          <w:rFonts w:ascii="Courier New" w:cs="Courier New" w:eastAsia="Courier New" w:hAnsi="Courier New"/>
          <w:sz w:val="18"/>
          <w:szCs w:val="18"/>
          <w:color w:val="auto"/>
        </w:rPr>
        <w:t>Officers: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ind w:left="1580"/>
        <w:spacing w:after="0"/>
        <w:rPr>
          <w:sz w:val="20"/>
          <w:szCs w:val="20"/>
          <w:color w:val="auto"/>
        </w:rPr>
      </w:pPr>
      <w:r>
        <w:rPr>
          <w:rFonts w:ascii="Courier New" w:cs="Courier New" w:eastAsia="Courier New" w:hAnsi="Courier New"/>
          <w:sz w:val="18"/>
          <w:szCs w:val="18"/>
          <w:color w:val="auto"/>
        </w:rPr>
        <w:t>Vincent J.</w:t>
      </w:r>
    </w:p>
    <w:p>
      <w:pPr>
        <w:spacing w:after="0"/>
        <w:rPr>
          <w:sz w:val="20"/>
          <w:szCs w:val="20"/>
          <w:color w:val="auto"/>
        </w:rPr>
      </w:pPr>
      <w:r>
        <w:rPr>
          <w:rFonts w:ascii="Courier New" w:cs="Courier New" w:eastAsia="Courier New" w:hAnsi="Courier New"/>
          <w:sz w:val="18"/>
          <w:szCs w:val="18"/>
          <w:color w:val="auto"/>
        </w:rPr>
        <w:t>Capurso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and Chief Financial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ind w:left="860"/>
        <w:spacing w:after="0" w:line="238" w:lineRule="auto"/>
        <w:rPr>
          <w:sz w:val="20"/>
          <w:szCs w:val="20"/>
          <w:color w:val="auto"/>
        </w:rPr>
      </w:pPr>
      <w:r>
        <w:rPr>
          <w:rFonts w:ascii="Courier New" w:cs="Courier New" w:eastAsia="Courier New" w:hAnsi="Courier New"/>
          <w:sz w:val="18"/>
          <w:szCs w:val="18"/>
          <w:color w:val="auto"/>
        </w:rPr>
        <w:t>Robert S. Zuccaro</w:t>
      </w:r>
    </w:p>
    <w:p>
      <w:pPr>
        <w:spacing w:after="0"/>
        <w:rPr>
          <w:sz w:val="20"/>
          <w:szCs w:val="20"/>
          <w:color w:val="auto"/>
        </w:rPr>
      </w:pPr>
      <w:r>
        <w:rPr>
          <w:rFonts w:ascii="Courier New" w:cs="Courier New" w:eastAsia="Courier New" w:hAnsi="Courier New"/>
          <w:sz w:val="18"/>
          <w:szCs w:val="18"/>
          <w:color w:val="auto"/>
        </w:rPr>
        <w:t>Vice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General 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C. Avansino,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line="238" w:lineRule="auto"/>
        <w:rPr>
          <w:sz w:val="20"/>
          <w:szCs w:val="20"/>
          <w:color w:val="auto"/>
        </w:rPr>
      </w:pPr>
      <w:r>
        <w:rPr>
          <w:rFonts w:ascii="Courier New" w:cs="Courier New" w:eastAsia="Courier New" w:hAnsi="Courier New"/>
          <w:sz w:val="18"/>
          <w:szCs w:val="18"/>
          <w:color w:val="auto"/>
        </w:rPr>
        <w:t>Chairman</w:t>
      </w:r>
    </w:p>
    <w:p>
      <w:pPr>
        <w:spacing w:after="0"/>
        <w:rPr>
          <w:sz w:val="20"/>
          <w:szCs w:val="20"/>
          <w:color w:val="auto"/>
        </w:rPr>
      </w:pPr>
      <w:r>
        <w:rPr>
          <w:rFonts w:ascii="Courier New" w:cs="Courier New" w:eastAsia="Courier New" w:hAnsi="Courier New"/>
          <w:sz w:val="18"/>
          <w:szCs w:val="18"/>
          <w:color w:val="auto"/>
        </w:rPr>
        <w:t>E.L. Wiegand Foundation</w:t>
      </w:r>
    </w:p>
    <w:p>
      <w:pPr>
        <w:spacing w:after="0" w:line="238" w:lineRule="auto"/>
        <w:rPr>
          <w:sz w:val="20"/>
          <w:szCs w:val="20"/>
          <w:color w:val="auto"/>
        </w:rPr>
      </w:pPr>
      <w:r>
        <w:rPr>
          <w:rFonts w:ascii="Courier New" w:cs="Courier New" w:eastAsia="Courier New" w:hAnsi="Courier New"/>
          <w:sz w:val="18"/>
          <w:szCs w:val="18"/>
          <w:color w:val="auto"/>
        </w:rPr>
        <w:t>165 West Liberty Street</w:t>
      </w:r>
    </w:p>
    <w:p>
      <w:pPr>
        <w:spacing w:after="0"/>
        <w:rPr>
          <w:sz w:val="20"/>
          <w:szCs w:val="20"/>
          <w:color w:val="auto"/>
        </w:rPr>
      </w:pPr>
      <w:r>
        <w:rPr>
          <w:rFonts w:ascii="Courier New" w:cs="Courier New" w:eastAsia="Courier New" w:hAnsi="Courier New"/>
          <w:sz w:val="18"/>
          <w:szCs w:val="18"/>
          <w:color w:val="auto"/>
        </w:rPr>
        <w:t>Reno, NV 89501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B. Guenther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ectPr>
          <w:pgSz w:w="11900" w:h="16838" w:orient="portrait"/>
          <w:cols w:equalWidth="0" w:num="1">
            <w:col w:w="10219"/>
          </w:cols>
          <w:pgMar w:left="240" w:top="110"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New York Philharmonic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Lincoln Center Plaza</w:t>
      </w:r>
    </w:p>
    <w:p>
      <w:pPr>
        <w:spacing w:after="0"/>
        <w:rPr>
          <w:sz w:val="20"/>
          <w:szCs w:val="20"/>
          <w:color w:val="auto"/>
        </w:rPr>
      </w:pPr>
      <w:r>
        <w:rPr>
          <w:rFonts w:ascii="Courier New" w:cs="Courier New" w:eastAsia="Courier New" w:hAnsi="Courier New"/>
          <w:sz w:val="18"/>
          <w:szCs w:val="18"/>
          <w:color w:val="auto"/>
        </w:rPr>
        <w:t>New York, NY 10023</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w:t>
      </w:r>
    </w:p>
    <w:p>
      <w:pPr>
        <w:spacing w:after="0" w:line="238" w:lineRule="auto"/>
        <w:rPr>
          <w:sz w:val="20"/>
          <w:szCs w:val="20"/>
          <w:color w:val="auto"/>
        </w:rPr>
      </w:pPr>
      <w:r>
        <w:rPr>
          <w:rFonts w:ascii="Courier New" w:cs="Courier New" w:eastAsia="Courier New" w:hAnsi="Courier New"/>
          <w:sz w:val="18"/>
          <w:szCs w:val="18"/>
          <w:color w:val="auto"/>
        </w:rPr>
        <w:t>120 West 45th Street</w:t>
      </w:r>
    </w:p>
    <w:p>
      <w:pPr>
        <w:spacing w:after="0"/>
        <w:rPr>
          <w:sz w:val="20"/>
          <w:szCs w:val="20"/>
          <w:color w:val="auto"/>
        </w:rPr>
      </w:pPr>
      <w:r>
        <w:rPr>
          <w:rFonts w:ascii="Courier New" w:cs="Courier New" w:eastAsia="Courier New" w:hAnsi="Courier New"/>
          <w:sz w:val="18"/>
          <w:szCs w:val="18"/>
          <w:color w:val="auto"/>
        </w:rPr>
        <w:t>New York, NY 10036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860"/>
              <w:spacing w:after="0"/>
              <w:rPr>
                <w:sz w:val="20"/>
                <w:szCs w:val="20"/>
                <w:color w:val="auto"/>
              </w:rPr>
            </w:pPr>
            <w:r>
              <w:rPr>
                <w:rFonts w:ascii="Courier New" w:cs="Courier New" w:eastAsia="Courier New" w:hAnsi="Courier New"/>
                <w:sz w:val="18"/>
                <w:szCs w:val="18"/>
                <w:color w:val="auto"/>
              </w:rPr>
              <w:t>Dr. Eamon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M. Kelly</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Professor</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6"/>
              </w:rPr>
              <w:t>International</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Payson Center for</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Development Technology Transfer</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Tulane University</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300 Gibson Hall</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6823 St. Charles Avenue</w:t>
            </w: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New Orleans, LA</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70118</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 Oppenheim jr. &amp; Cie.</w:t>
      </w:r>
    </w:p>
    <w:p>
      <w:pPr>
        <w:spacing w:after="0" w:line="238" w:lineRule="auto"/>
        <w:rPr>
          <w:sz w:val="20"/>
          <w:szCs w:val="20"/>
          <w:color w:val="auto"/>
        </w:rPr>
      </w:pPr>
      <w:r>
        <w:rPr>
          <w:rFonts w:ascii="Courier New" w:cs="Courier New" w:eastAsia="Courier New" w:hAnsi="Courier New"/>
          <w:sz w:val="18"/>
          <w:szCs w:val="18"/>
          <w:color w:val="auto"/>
        </w:rPr>
        <w:t>Bockenheimer Landstrasse 20</w:t>
      </w:r>
    </w:p>
    <w:p>
      <w:pPr>
        <w:spacing w:after="0"/>
        <w:rPr>
          <w:sz w:val="20"/>
          <w:szCs w:val="20"/>
          <w:color w:val="auto"/>
        </w:rPr>
      </w:pPr>
      <w:r>
        <w:rPr>
          <w:rFonts w:ascii="Courier New" w:cs="Courier New" w:eastAsia="Courier New" w:hAnsi="Courier New"/>
          <w:sz w:val="18"/>
          <w:szCs w:val="18"/>
          <w:color w:val="auto"/>
        </w:rPr>
        <w:t>D-6000 FRANKFURT AM MAIN</w:t>
      </w:r>
    </w:p>
    <w:p>
      <w:pPr>
        <w:spacing w:after="0"/>
        <w:rPr>
          <w:sz w:val="20"/>
          <w:szCs w:val="20"/>
          <w:color w:val="auto"/>
        </w:rPr>
      </w:pPr>
      <w:r>
        <w:rPr>
          <w:rFonts w:ascii="Courier New" w:cs="Courier New" w:eastAsia="Courier New" w:hAnsi="Courier New"/>
          <w:sz w:val="18"/>
          <w:szCs w:val="18"/>
          <w:color w:val="auto"/>
        </w:rPr>
        <w:t>Germany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ind w:left="860"/>
        <w:spacing w:after="0"/>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Chief Investment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spacing w:after="0"/>
        <w:rPr>
          <w:sz w:val="20"/>
          <w:szCs w:val="20"/>
          <w:color w:val="auto"/>
        </w:rPr>
      </w:pPr>
      <w:r>
        <w:rPr>
          <w:rFonts w:ascii="Courier New" w:cs="Courier New" w:eastAsia="Courier New" w:hAnsi="Courier New"/>
          <w:sz w:val="18"/>
          <w:szCs w:val="18"/>
          <w:color w:val="auto"/>
        </w:rPr>
        <w:t>Officers: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Investment Officer</w:t>
      </w:r>
    </w:p>
    <w:p>
      <w:pPr>
        <w:sectPr>
          <w:pgSz w:w="11900" w:h="16838" w:orient="portrait"/>
          <w:cols w:equalWidth="0" w:num="1">
            <w:col w:w="10219"/>
          </w:cols>
          <w:pgMar w:left="240" w:top="110" w:right="1440" w:bottom="0" w:gutter="0" w:footer="0" w:header="0"/>
        </w:sectPr>
      </w:pPr>
    </w:p>
    <w:bookmarkStart w:id="15" w:name="page16"/>
    <w:bookmarkEnd w:id="15"/>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Gus Coutsouros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D. Gabelli</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Gus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Coutsouros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of W. R. Blake &amp; Sons, Inc.</w:t>
      </w:r>
    </w:p>
    <w:p>
      <w:pPr>
        <w:spacing w:after="0" w:line="238" w:lineRule="auto"/>
        <w:rPr>
          <w:sz w:val="20"/>
          <w:szCs w:val="20"/>
          <w:color w:val="auto"/>
        </w:rPr>
      </w:pPr>
      <w:r>
        <w:rPr>
          <w:rFonts w:ascii="Courier New" w:cs="Courier New" w:eastAsia="Courier New" w:hAnsi="Courier New"/>
          <w:sz w:val="18"/>
          <w:szCs w:val="18"/>
          <w:color w:val="auto"/>
        </w:rPr>
        <w:t>196-20 Northern Boulevard</w:t>
      </w:r>
    </w:p>
    <w:p>
      <w:pPr>
        <w:spacing w:after="0"/>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Partner of ALCE Partners, L.P.</w:t>
      </w:r>
    </w:p>
    <w:p>
      <w:pPr>
        <w:spacing w:after="0" w:line="238" w:lineRule="auto"/>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President-Finance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&amp; Interim President</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S. Zuccaro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James G. Webster, III</w:t>
      </w:r>
    </w:p>
    <w:p>
      <w:pPr>
        <w:sectPr>
          <w:pgSz w:w="11900" w:h="16838" w:orient="portrait"/>
          <w:cols w:equalWidth="0" w:num="1">
            <w:col w:w="10219"/>
          </w:cols>
          <w:pgMar w:left="240" w:top="110" w:right="1440" w:bottom="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Chairman &amp; Interim President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 Mutual Funds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Walter K. Walsh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Kennedy Plaza, Suite 1250, Providence, RI 02903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Gabelli Group Capital Partners, Inc.</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 Val Cerutti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 Cerutti Consultants</w:t>
      </w:r>
    </w:p>
    <w:p>
      <w:pPr>
        <w:spacing w:after="0" w:line="238" w:lineRule="auto"/>
        <w:rPr>
          <w:sz w:val="20"/>
          <w:szCs w:val="20"/>
          <w:color w:val="auto"/>
        </w:rPr>
      </w:pPr>
      <w:r>
        <w:rPr>
          <w:rFonts w:ascii="Courier New" w:cs="Courier New" w:eastAsia="Courier New" w:hAnsi="Courier New"/>
          <w:sz w:val="18"/>
          <w:szCs w:val="18"/>
          <w:color w:val="auto"/>
        </w:rPr>
        <w:t>227 McLain Street</w:t>
      </w:r>
    </w:p>
    <w:p>
      <w:pPr>
        <w:spacing w:after="0"/>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Avrum Gray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Ralph R. Papitto</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Richard E. McGrail</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Raymond H. Keller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Anthony 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Pustorino</w:t>
      </w:r>
    </w:p>
    <w:p>
      <w:pPr>
        <w:spacing w:after="0" w:line="238" w:lineRule="auto"/>
        <w:rPr>
          <w:sz w:val="20"/>
          <w:szCs w:val="20"/>
          <w:color w:val="auto"/>
        </w:rPr>
      </w:pPr>
      <w:r>
        <w:rPr>
          <w:rFonts w:ascii="Courier New" w:cs="Courier New" w:eastAsia="Courier New" w:hAnsi="Courier New"/>
          <w:sz w:val="18"/>
          <w:szCs w:val="18"/>
          <w:color w:val="auto"/>
        </w:rPr>
        <w:t>Gbar Limited Partnership</w:t>
      </w:r>
    </w:p>
    <w:p>
      <w:pPr>
        <w:spacing w:after="0"/>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Operations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Professor Emeritus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Pace University</w:t>
      </w:r>
    </w:p>
    <w:p>
      <w:pPr>
        <w:spacing w:after="0" w:line="238" w:lineRule="auto"/>
        <w:rPr>
          <w:sz w:val="20"/>
          <w:szCs w:val="20"/>
          <w:color w:val="auto"/>
        </w:rPr>
      </w:pPr>
      <w:r>
        <w:rPr>
          <w:rFonts w:ascii="Courier New" w:cs="Courier New" w:eastAsia="Courier New" w:hAnsi="Courier New"/>
          <w:sz w:val="18"/>
          <w:szCs w:val="18"/>
          <w:color w:val="auto"/>
        </w:rPr>
        <w:t>1 Martine Avenue</w:t>
      </w:r>
    </w:p>
    <w:p>
      <w:pPr>
        <w:spacing w:after="0"/>
        <w:rPr>
          <w:sz w:val="20"/>
          <w:szCs w:val="20"/>
          <w:color w:val="auto"/>
        </w:rPr>
      </w:pPr>
      <w:r>
        <w:rPr>
          <w:rFonts w:ascii="Courier New" w:cs="Courier New" w:eastAsia="Courier New" w:hAnsi="Courier New"/>
          <w:sz w:val="18"/>
          <w:szCs w:val="18"/>
          <w:color w:val="auto"/>
        </w:rPr>
        <w:t>White Plains, NY 10606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Ralph R. Papitto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rPr>
          <w:sz w:val="20"/>
          <w:szCs w:val="20"/>
          <w:color w:val="auto"/>
        </w:rPr>
      </w:pPr>
      <w:r>
        <w:rPr>
          <w:rFonts w:ascii="Courier New" w:cs="Courier New" w:eastAsia="Courier New" w:hAnsi="Courier New"/>
          <w:sz w:val="18"/>
          <w:szCs w:val="18"/>
          <w:color w:val="auto"/>
        </w:rPr>
        <w:t>Vice Chairman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E. McGrail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Raymond H. Keller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 Theodore Fremd Avenue Rye, NY 10580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Florida Light &amp; Power Co.</w:t>
      </w:r>
    </w:p>
    <w:p>
      <w:pPr>
        <w:sectPr>
          <w:pgSz w:w="11900" w:h="16838" w:orient="portrait"/>
          <w:cols w:equalWidth="0" w:num="1">
            <w:col w:w="10219"/>
          </w:cols>
          <w:pgMar w:left="240" w:top="110"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P.O. Box 14000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 Universe Blvd.</w:t>
      </w:r>
    </w:p>
    <w:p>
      <w:pPr>
        <w:spacing w:after="0"/>
        <w:rPr>
          <w:sz w:val="20"/>
          <w:szCs w:val="20"/>
          <w:color w:val="auto"/>
        </w:rPr>
      </w:pPr>
      <w:r>
        <w:rPr>
          <w:rFonts w:ascii="Courier New" w:cs="Courier New" w:eastAsia="Courier New" w:hAnsi="Courier New"/>
          <w:sz w:val="18"/>
          <w:szCs w:val="18"/>
          <w:color w:val="auto"/>
        </w:rPr>
        <w:t>Juno Beach, FL 33408</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 - Gabelli Group Capital Partners, Inc.</w:t>
      </w:r>
    </w:p>
    <w:p>
      <w:pPr>
        <w:spacing w:after="0" w:line="19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238" w:lineRule="auto"/>
        <w:rPr>
          <w:sz w:val="20"/>
          <w:szCs w:val="20"/>
          <w:color w:val="auto"/>
        </w:rPr>
      </w:pPr>
      <w:r>
        <w:rPr>
          <w:rFonts w:ascii="Courier New" w:cs="Courier New" w:eastAsia="Courier New" w:hAnsi="Courier New"/>
          <w:sz w:val="18"/>
          <w:szCs w:val="18"/>
          <w:color w:val="auto"/>
        </w:rPr>
        <w:t>S. Muoio &amp; Co., LLC</w:t>
      </w:r>
    </w:p>
    <w:p>
      <w:pPr>
        <w:spacing w:after="0"/>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David C. Mitchell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Consultant</w:t>
      </w:r>
    </w:p>
    <w:p>
      <w:pPr>
        <w:spacing w:after="0" w:line="238" w:lineRule="auto"/>
        <w:rPr>
          <w:sz w:val="20"/>
          <w:szCs w:val="20"/>
          <w:color w:val="auto"/>
        </w:rPr>
      </w:pPr>
      <w:r>
        <w:rPr>
          <w:rFonts w:ascii="Courier New" w:cs="Courier New" w:eastAsia="Courier New" w:hAnsi="Courier New"/>
          <w:sz w:val="18"/>
          <w:szCs w:val="18"/>
          <w:color w:val="auto"/>
        </w:rPr>
        <w:t>c/o Lynch Interactive Corporation</w:t>
      </w:r>
    </w:p>
    <w:p>
      <w:pPr>
        <w:spacing w:after="0"/>
        <w:rPr>
          <w:sz w:val="20"/>
          <w:szCs w:val="20"/>
          <w:color w:val="auto"/>
        </w:rPr>
      </w:pPr>
      <w:r>
        <w:rPr>
          <w:rFonts w:ascii="Courier New" w:cs="Courier New" w:eastAsia="Courier New" w:hAnsi="Courier New"/>
          <w:sz w:val="18"/>
          <w:szCs w:val="18"/>
          <w:color w:val="auto"/>
        </w:rPr>
        <w:t>401 Theodore Fremd Ave.</w:t>
      </w:r>
    </w:p>
    <w:p>
      <w:pPr>
        <w:spacing w:after="0"/>
        <w:rPr>
          <w:sz w:val="20"/>
          <w:szCs w:val="20"/>
          <w:color w:val="auto"/>
        </w:rPr>
      </w:pPr>
      <w:r>
        <w:rPr>
          <w:rFonts w:ascii="Courier New" w:cs="Courier New" w:eastAsia="Courier New" w:hAnsi="Courier New"/>
          <w:sz w:val="18"/>
          <w:szCs w:val="18"/>
          <w:color w:val="auto"/>
        </w:rPr>
        <w:t>Rye, NY 10580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Vincent S. Tese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Lawyer, Investment Adviser and Cable Television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pacing w:after="0" w:line="238" w:lineRule="auto"/>
        <w:rPr>
          <w:sz w:val="20"/>
          <w:szCs w:val="20"/>
          <w:color w:val="auto"/>
        </w:rPr>
      </w:pPr>
      <w:r>
        <w:rPr>
          <w:rFonts w:ascii="Courier New" w:cs="Courier New" w:eastAsia="Courier New" w:hAnsi="Courier New"/>
          <w:sz w:val="18"/>
          <w:szCs w:val="18"/>
          <w:color w:val="auto"/>
        </w:rPr>
        <w:t>c/o Bear Stearns &amp; Company, Inc.</w:t>
      </w:r>
    </w:p>
    <w:p>
      <w:pPr>
        <w:spacing w:after="0"/>
        <w:rPr>
          <w:sz w:val="20"/>
          <w:szCs w:val="20"/>
          <w:color w:val="auto"/>
        </w:rPr>
      </w:pPr>
      <w:r>
        <w:rPr>
          <w:rFonts w:ascii="Courier New" w:cs="Courier New" w:eastAsia="Courier New" w:hAnsi="Courier New"/>
          <w:sz w:val="18"/>
          <w:szCs w:val="18"/>
          <w:color w:val="auto"/>
        </w:rPr>
        <w:t>245 Park Avenue, 19th Floor</w:t>
      </w:r>
    </w:p>
    <w:p>
      <w:pPr>
        <w:spacing w:after="0"/>
        <w:rPr>
          <w:sz w:val="20"/>
          <w:szCs w:val="20"/>
          <w:color w:val="auto"/>
        </w:rPr>
      </w:pPr>
      <w:r>
        <w:rPr>
          <w:rFonts w:ascii="Courier New" w:cs="Courier New" w:eastAsia="Courier New" w:hAnsi="Courier New"/>
          <w:sz w:val="18"/>
          <w:szCs w:val="18"/>
          <w:color w:val="auto"/>
        </w:rPr>
        <w:t>New York, NY 10167</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Frederic V.</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Salerno</w:t>
      </w:r>
    </w:p>
    <w:p>
      <w:pPr>
        <w:spacing w:after="0"/>
        <w:rPr>
          <w:sz w:val="20"/>
          <w:szCs w:val="20"/>
          <w:color w:val="auto"/>
        </w:rPr>
      </w:pPr>
      <w:r>
        <w:rPr>
          <w:rFonts w:ascii="Courier New" w:cs="Courier New" w:eastAsia="Courier New" w:hAnsi="Courier New"/>
          <w:sz w:val="18"/>
          <w:szCs w:val="18"/>
          <w:color w:val="auto"/>
        </w:rPr>
        <w:t>See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John Fikre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Corporate Development, General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169" w:lineRule="exact"/>
        <w:rPr>
          <w:sz w:val="20"/>
          <w:szCs w:val="20"/>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Germany</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Cayman Islands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Bermuda and Canada</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the UK</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Switzerland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of Italy</w:t>
      </w:r>
    </w:p>
    <w:p>
      <w:pPr>
        <w:sectPr>
          <w:pgSz w:w="11900" w:h="16838" w:orient="portrait"/>
          <w:cols w:equalWidth="0" w:num="1">
            <w:col w:w="10219"/>
          </w:cols>
          <w:pgMar w:left="240" w:top="110" w:right="1440" w:bottom="1440" w:gutter="0" w:footer="0" w:header="0"/>
        </w:sectPr>
      </w:pPr>
    </w:p>
    <w:bookmarkStart w:id="18" w:name="page19"/>
    <w:bookmarkEnd w:id="18"/>
    <w:tbl>
      <w:tblPr>
        <w:tblLayout w:type="fixed"/>
        <w:tblInd w:w="100" w:type="dxa"/>
        <w:tblCellMar>
          <w:top w:w="0" w:type="dxa"/>
          <w:left w:w="0" w:type="dxa"/>
          <w:bottom w:w="0" w:type="dxa"/>
          <w:right w:w="0" w:type="dxa"/>
        </w:tblCellMar>
      </w:tblPr>
      <w:tr>
        <w:trPr>
          <w:trHeight w:val="296"/>
        </w:trPr>
        <w:tc>
          <w:tcPr>
            <w:tcW w:w="3480" w:type="dxa"/>
            <w:vAlign w:val="bottom"/>
          </w:tcPr>
          <w:p>
            <w:pPr>
              <w:spacing w:after="0"/>
              <w:rPr>
                <w:sz w:val="24"/>
                <w:szCs w:val="24"/>
                <w:color w:val="auto"/>
              </w:rPr>
            </w:pPr>
          </w:p>
        </w:tc>
        <w:tc>
          <w:tcPr>
            <w:tcW w:w="2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SCHEDULE II</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9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INFORMATION WITH RESPECT TO</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6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w w:val="96"/>
              </w:rPr>
              <w:t>TRANSACTIONS EFFECTED DURING THE PAST SIXTY DAYS OR</w:t>
            </w:r>
          </w:p>
        </w:tc>
        <w:tc>
          <w:tcPr>
            <w:tcW w:w="0" w:type="dxa"/>
            <w:vAlign w:val="bottom"/>
          </w:tcPr>
          <w:p>
            <w:pPr>
              <w:spacing w:after="0"/>
              <w:rPr>
                <w:sz w:val="1"/>
                <w:szCs w:val="1"/>
                <w:color w:val="auto"/>
              </w:rPr>
            </w:pPr>
          </w:p>
        </w:tc>
      </w:tr>
      <w:tr>
        <w:trPr>
          <w:trHeight w:val="296"/>
        </w:trPr>
        <w:tc>
          <w:tcPr>
            <w:tcW w:w="7060" w:type="dxa"/>
            <w:vAlign w:val="bottom"/>
            <w:gridSpan w:val="3"/>
          </w:tcPr>
          <w:p>
            <w:pPr>
              <w:ind w:left="1700"/>
              <w:spacing w:after="0"/>
              <w:rPr>
                <w:sz w:val="20"/>
                <w:szCs w:val="20"/>
                <w:color w:val="auto"/>
              </w:rPr>
            </w:pPr>
            <w:r>
              <w:rPr>
                <w:rFonts w:ascii="Courier New" w:cs="Courier New" w:eastAsia="Courier New" w:hAnsi="Courier New"/>
                <w:sz w:val="18"/>
                <w:szCs w:val="18"/>
                <w:color w:val="auto"/>
              </w:rPr>
              <w:t>SINCE THE MOST RECENT FILING ON SCHEDULE 13D (1)</w:t>
            </w:r>
          </w:p>
        </w:tc>
        <w:tc>
          <w:tcPr>
            <w:tcW w:w="0" w:type="dxa"/>
            <w:vAlign w:val="bottom"/>
          </w:tcPr>
          <w:p>
            <w:pPr>
              <w:spacing w:after="0"/>
              <w:rPr>
                <w:sz w:val="1"/>
                <w:szCs w:val="1"/>
                <w:color w:val="auto"/>
              </w:rPr>
            </w:pPr>
          </w:p>
        </w:tc>
      </w:tr>
      <w:tr>
        <w:trPr>
          <w:trHeight w:val="311"/>
        </w:trPr>
        <w:tc>
          <w:tcPr>
            <w:tcW w:w="348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DATE</w:t>
            </w:r>
          </w:p>
        </w:tc>
        <w:tc>
          <w:tcPr>
            <w:tcW w:w="2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SHARES PURCHASED</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AVERAGE</w:t>
            </w:r>
          </w:p>
        </w:tc>
        <w:tc>
          <w:tcPr>
            <w:tcW w:w="0" w:type="dxa"/>
            <w:vAlign w:val="bottom"/>
          </w:tcPr>
          <w:p>
            <w:pPr>
              <w:spacing w:after="0"/>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24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SOLD(-)</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w w:val="94"/>
              </w:rPr>
              <w:t>PRICE(2)</w:t>
            </w:r>
          </w:p>
        </w:tc>
        <w:tc>
          <w:tcPr>
            <w:tcW w:w="0" w:type="dxa"/>
            <w:vAlign w:val="bottom"/>
          </w:tcPr>
          <w:p>
            <w:pPr>
              <w:spacing w:after="0"/>
              <w:rPr>
                <w:sz w:val="1"/>
                <w:szCs w:val="1"/>
                <w:color w:val="auto"/>
              </w:rPr>
            </w:pPr>
          </w:p>
        </w:tc>
      </w:tr>
      <w:tr>
        <w:trPr>
          <w:trHeight w:val="405"/>
        </w:trPr>
        <w:tc>
          <w:tcPr>
            <w:tcW w:w="3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COMMON STOCK-SOUTHWEST GAS CORP</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GAMCO INVESTORS, INC.</w:t>
            </w:r>
          </w:p>
        </w:tc>
        <w:tc>
          <w:tcPr>
            <w:tcW w:w="242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2,000-</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22.6640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12/05/02</w:t>
            </w:r>
          </w:p>
        </w:tc>
        <w:tc>
          <w:tcPr>
            <w:tcW w:w="2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12/02/02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22.5800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11/29/02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22.4448</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11/29/02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22.6000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11/26/02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22.0333</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11/26/02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21.8633</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11/25/02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21.8360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11/18/02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22.5300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11/11/02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22.2500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*DI</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10/30/02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21.9230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10/30/02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21.8446</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10/28/02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22.2590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10/25/02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10/23/02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900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21.7033</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10/18/02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10/16/02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20.9600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10/15/02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21.3300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10/15/02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21.2320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10/11/02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300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20.8600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10/10/02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20.1600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10/10/02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20.1080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10/09/02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20.4764</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10/07/02</w:t>
            </w:r>
          </w:p>
        </w:tc>
        <w:tc>
          <w:tcPr>
            <w:tcW w:w="24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700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21.0500</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10/07/02</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*DO</w:t>
            </w:r>
          </w:p>
        </w:tc>
        <w:tc>
          <w:tcPr>
            <w:tcW w:w="0" w:type="dxa"/>
            <w:vAlign w:val="bottom"/>
          </w:tcPr>
          <w:p>
            <w:pPr>
              <w:spacing w:after="0"/>
              <w:rPr>
                <w:sz w:val="1"/>
                <w:szCs w:val="1"/>
                <w:color w:val="auto"/>
              </w:rPr>
            </w:pPr>
          </w:p>
        </w:tc>
      </w:tr>
      <w:tr>
        <w:trPr>
          <w:trHeight w:val="203"/>
        </w:trPr>
        <w:tc>
          <w:tcPr>
            <w:tcW w:w="3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GABELLI FUNDS, LLC.</w:t>
            </w: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GABELLI VALUE FUND</w:t>
            </w:r>
          </w:p>
        </w:tc>
        <w:tc>
          <w:tcPr>
            <w:tcW w:w="2420" w:type="dxa"/>
            <w:vAlign w:val="bottom"/>
            <w:vMerge w:val="restart"/>
          </w:tcPr>
          <w:p>
            <w:pPr>
              <w:jc w:val="right"/>
              <w:ind w:right="952"/>
              <w:spacing w:after="0"/>
              <w:rPr>
                <w:sz w:val="20"/>
                <w:szCs w:val="20"/>
                <w:color w:val="auto"/>
              </w:rPr>
            </w:pPr>
            <w:r>
              <w:rPr>
                <w:rFonts w:ascii="Courier New" w:cs="Courier New" w:eastAsia="Courier New" w:hAnsi="Courier New"/>
                <w:sz w:val="18"/>
                <w:szCs w:val="18"/>
                <w:color w:val="auto"/>
              </w:rPr>
              <w:t>1,000</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21.8310</w:t>
            </w:r>
          </w:p>
        </w:tc>
        <w:tc>
          <w:tcPr>
            <w:tcW w:w="0" w:type="dxa"/>
            <w:vAlign w:val="bottom"/>
          </w:tcPr>
          <w:p>
            <w:pPr>
              <w:spacing w:after="0"/>
              <w:rPr>
                <w:sz w:val="1"/>
                <w:szCs w:val="1"/>
                <w:color w:val="auto"/>
              </w:rPr>
            </w:pPr>
          </w:p>
        </w:tc>
      </w:tr>
      <w:tr>
        <w:trPr>
          <w:trHeight w:val="296"/>
        </w:trPr>
        <w:tc>
          <w:tcPr>
            <w:tcW w:w="3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11/26/02</w:t>
            </w:r>
          </w:p>
        </w:tc>
        <w:tc>
          <w:tcPr>
            <w:tcW w:w="24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right="2619" w:hanging="419"/>
        <w:spacing w:after="0" w:line="34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18" w:lineRule="exact"/>
        <w:rPr>
          <w:rFonts w:ascii="Courier New" w:cs="Courier New" w:eastAsia="Courier New" w:hAnsi="Courier New"/>
          <w:sz w:val="18"/>
          <w:szCs w:val="18"/>
          <w:color w:val="auto"/>
        </w:rPr>
      </w:pPr>
    </w:p>
    <w:p>
      <w:pPr>
        <w:ind w:left="420" w:hanging="419"/>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RESULTS IN CHANGE OF DISPOSITIVE POWER AND BENEFICIAL OWNERSHIP.</w:t>
      </w:r>
    </w:p>
    <w:sectPr>
      <w:pgSz w:w="11900" w:h="16838" w:orient="portrait"/>
      <w:cols w:equalWidth="0" w:num="1">
        <w:col w:w="9159"/>
      </w:cols>
      <w:pgMar w:left="130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6"/>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2019-12-11T19:24:01Z</dcterms:created>
  <dcterms:modified xsi:type="dcterms:W3CDTF">2019-12-11T19:24:01Z</dcterms:modified>
</cp:coreProperties>
</file>