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3"/>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jc w:val="center"/>
              <w:ind w:right="56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4"/>
          </w:tcPr>
          <w:p>
            <w:pPr>
              <w:jc w:val="center"/>
              <w:ind w:left="339"/>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3"/>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4"/>
          </w:tcPr>
          <w:p>
            <w:pPr>
              <w:jc w:val="center"/>
              <w:ind w:left="359"/>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5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6"/>
          <w:szCs w:val="16"/>
          <w:color w:val="auto"/>
        </w:rPr>
        <w:t>Southwest Gas Holdings, Inc. Common Stock, $1 Par Value, 72,374,873 shares as of May 1, 2026.</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May 1, 2026.</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44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GLOSSARY OF KEY TERMS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or acronyms that are found throughout this report.</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260" w:type="dxa"/>
            <w:vAlign w:val="bottom"/>
            <w:tcBorders>
              <w:bottom w:val="single" w:sz="8" w:color="auto"/>
              <w:right w:val="single" w:sz="8" w:color="auto"/>
            </w:tcBorders>
            <w:gridSpan w:val="3"/>
            <w:vMerge w:val="continue"/>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Arizona Corporation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Basin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MD&amp;A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AOCI</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PBOP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ARA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PGA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Purchased Gas Adjustment</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PUCN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Utilities Commission of Nevada</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QRP</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Directors of Southwest Gas Holdings, Inc.</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 Adjustment Mechanism</w:t>
            </w:r>
          </w:p>
        </w:tc>
        <w:tc>
          <w:tcPr>
            <w:tcW w:w="0" w:type="dxa"/>
            <w:vAlign w:val="bottom"/>
          </w:tcPr>
          <w:p>
            <w:pPr>
              <w:spacing w:after="0"/>
              <w:rPr>
                <w:sz w:val="1"/>
                <w:szCs w:val="1"/>
                <w:color w:val="auto"/>
              </w:rPr>
            </w:pPr>
          </w:p>
        </w:tc>
      </w:tr>
      <w:tr>
        <w:trPr>
          <w:trHeight w:val="175"/>
        </w:trPr>
        <w:tc>
          <w:tcPr>
            <w:tcW w:w="1440" w:type="dxa"/>
            <w:vAlign w:val="bottom"/>
            <w:tcBorders>
              <w:lef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Centuri, or Utility</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Centuri Group Inc, for periods prior to April 22, 2024,</w:t>
            </w: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Infrastructure</w:t>
            </w:r>
          </w:p>
        </w:tc>
        <w:tc>
          <w:tcPr>
            <w:tcW w:w="4260" w:type="dxa"/>
            <w:vAlign w:val="bottom"/>
            <w:tcBorders>
              <w:right w:val="single" w:sz="8" w:color="auto"/>
            </w:tcBorders>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subsequently, Centuri Holdings, Inc.</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Reform Act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Private Securities Litigation Reform Act of 1995</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Centuri IPO</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Centuri Initial Public Offering</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Natural Gas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Senate Bill</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4260" w:type="dxa"/>
            <w:vAlign w:val="bottom"/>
            <w:tcBorders>
              <w:right w:val="single" w:sz="8" w:color="auto"/>
            </w:tcBorders>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Southwest Gas Holdings, Inc. (together with its</w:t>
            </w: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Separation</w:t>
            </w:r>
          </w:p>
        </w:tc>
        <w:tc>
          <w:tcPr>
            <w:tcW w:w="41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That certain Separation Agreement, dated as of April</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 2024, by and between the Company and Centuri</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COYL</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Customer-Owned Yard Line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CPUC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SIM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System Integrity Mechanism</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Southwest Gas, or</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40" w:type="dxa"/>
            <w:vAlign w:val="bottom"/>
            <w:tcBorders>
              <w:right w:val="single" w:sz="8" w:color="auto"/>
            </w:tcBorders>
            <w:shd w:val="clear" w:color="auto" w:fill="CCEEFF"/>
          </w:tcPr>
          <w:p>
            <w:pPr>
              <w:spacing w:after="0"/>
              <w:rPr>
                <w:sz w:val="16"/>
                <w:szCs w:val="16"/>
                <w:color w:val="auto"/>
              </w:rPr>
            </w:pPr>
          </w:p>
        </w:tc>
        <w:tc>
          <w:tcPr>
            <w:tcW w:w="14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Natural Gas</w:t>
            </w: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DCA</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Delivery Charge Adjustment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Southwest Gas Corporation and its subsidiaries</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Southwest Gas</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DEAA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Deferred Energy Accounting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Holdings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Southwest Gas Holdings, Inc. (standalone)</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260" w:type="dxa"/>
            <w:vAlign w:val="bottom"/>
            <w:tcBorders>
              <w:right w:val="single" w:sz="8" w:color="auto"/>
            </w:tcBorders>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 specified range, approved by the ACC, around an</w:t>
            </w: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260" w:type="dxa"/>
            <w:vAlign w:val="bottom"/>
            <w:tcBorders>
              <w:right w:val="single" w:sz="8" w:color="auto"/>
            </w:tcBorders>
            <w:gridSpan w:val="3"/>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authorized return on equity within which a utility’s</w:t>
            </w:r>
          </w:p>
        </w:tc>
        <w:tc>
          <w:tcPr>
            <w:tcW w:w="1440" w:type="dxa"/>
            <w:vAlign w:val="bottom"/>
            <w:shd w:val="clear" w:color="auto" w:fill="CCEEFF"/>
          </w:tcPr>
          <w:p>
            <w:pPr>
              <w:spacing w:after="0"/>
              <w:rPr>
                <w:sz w:val="16"/>
                <w:szCs w:val="16"/>
                <w:color w:val="auto"/>
              </w:rPr>
            </w:pP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40" w:type="dxa"/>
            <w:vAlign w:val="bottom"/>
            <w:tcBorders>
              <w:left w:val="single" w:sz="8" w:color="auto"/>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Deadband</w:t>
            </w:r>
          </w:p>
        </w:tc>
        <w:tc>
          <w:tcPr>
            <w:tcW w:w="4260" w:type="dxa"/>
            <w:vAlign w:val="bottom"/>
            <w:tcBorders>
              <w:right w:val="single" w:sz="8" w:color="auto"/>
            </w:tcBorders>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earnings are allowed to fluctuate without triggering an</w:t>
            </w:r>
          </w:p>
        </w:tc>
        <w:tc>
          <w:tcPr>
            <w:tcW w:w="1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SOFR</w:t>
            </w:r>
          </w:p>
        </w:tc>
        <w:tc>
          <w:tcPr>
            <w:tcW w:w="4120" w:type="dxa"/>
            <w:vAlign w:val="bottom"/>
            <w:tcBorders>
              <w:right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vMerge w:val="continue"/>
            <w:shd w:val="clear" w:color="auto" w:fill="CCEEFF"/>
          </w:tcPr>
          <w:p>
            <w:pPr>
              <w:spacing w:after="0"/>
              <w:rPr>
                <w:sz w:val="19"/>
                <w:szCs w:val="19"/>
                <w:color w:val="auto"/>
              </w:rPr>
            </w:pP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1440" w:type="dxa"/>
            <w:vAlign w:val="bottom"/>
            <w:vMerge w:val="continue"/>
            <w:shd w:val="clear" w:color="auto" w:fill="CCEEFF"/>
          </w:tcPr>
          <w:p>
            <w:pPr>
              <w:spacing w:after="0"/>
              <w:rPr>
                <w:sz w:val="19"/>
                <w:szCs w:val="19"/>
                <w:color w:val="auto"/>
              </w:rPr>
            </w:pPr>
          </w:p>
        </w:tc>
        <w:tc>
          <w:tcPr>
            <w:tcW w:w="412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EADIT</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Excess accumulated deferred income taxes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Unutilized tax assets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TEAM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Expense Adjustor Mechanism</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440" w:type="dxa"/>
            <w:vAlign w:val="bottom"/>
            <w:shd w:val="clear" w:color="auto" w:fill="CCEEFF"/>
          </w:tcPr>
          <w:p>
            <w:pPr>
              <w:spacing w:after="0"/>
              <w:rPr>
                <w:sz w:val="19"/>
                <w:szCs w:val="19"/>
                <w:color w:val="auto"/>
              </w:rPr>
            </w:pPr>
          </w:p>
        </w:tc>
        <w:tc>
          <w:tcPr>
            <w:tcW w:w="4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1440" w:type="dxa"/>
            <w:vAlign w:val="bottom"/>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260" w:type="dxa"/>
            <w:vAlign w:val="bottom"/>
            <w:tcBorders>
              <w:right w:val="single" w:sz="8" w:color="auto"/>
            </w:tcBorders>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Accounting principles generally accepted in the United</w:t>
            </w: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States</w:t>
            </w:r>
          </w:p>
        </w:tc>
        <w:tc>
          <w:tcPr>
            <w:tcW w:w="1440" w:type="dxa"/>
            <w:vAlign w:val="bottom"/>
            <w:shd w:val="clear" w:color="auto" w:fill="CCEEFF"/>
          </w:tcPr>
          <w:p>
            <w:pPr>
              <w:spacing w:after="0"/>
              <w:rPr>
                <w:sz w:val="21"/>
                <w:szCs w:val="21"/>
                <w:color w:val="auto"/>
              </w:rPr>
            </w:pPr>
          </w:p>
        </w:tc>
        <w:tc>
          <w:tcPr>
            <w:tcW w:w="41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GCBA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Gas Cost Balancing Account</w:t>
            </w:r>
          </w:p>
        </w:tc>
        <w:tc>
          <w:tcPr>
            <w:tcW w:w="1440" w:type="dxa"/>
            <w:vAlign w:val="bottom"/>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w:t>
            </w:r>
          </w:p>
        </w:tc>
        <w:tc>
          <w:tcPr>
            <w:tcW w:w="4260" w:type="dxa"/>
            <w:vAlign w:val="bottom"/>
            <w:tcBorders>
              <w:bottom w:val="single" w:sz="8" w:color="auto"/>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Revenues Adjustment</w:t>
            </w:r>
          </w:p>
        </w:tc>
        <w:tc>
          <w:tcPr>
            <w:tcW w:w="1440" w:type="dxa"/>
            <w:vAlign w:val="bottom"/>
            <w:tcBorders>
              <w:bottom w:val="single" w:sz="8" w:color="auto"/>
            </w:tcBorders>
            <w:shd w:val="clear" w:color="auto" w:fill="CCEEFF"/>
          </w:tcPr>
          <w:p>
            <w:pPr>
              <w:spacing w:after="0"/>
              <w:rPr>
                <w:sz w:val="19"/>
                <w:szCs w:val="19"/>
                <w:color w:val="auto"/>
              </w:rPr>
            </w:pPr>
          </w:p>
        </w:tc>
        <w:tc>
          <w:tcPr>
            <w:tcW w:w="41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Reform Act, Section 27A of the Securities Act of 1933, as amended, and Section 21E of the Exchange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“potential,” “continue,” “forecast,” “intend,” “endeavor,” “promote,” “seek,” “pursue,” and similar words and expressions are generally used and intended to identify forward-looking statements. For example, statements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impacts related thereto, and the disposition in any regulatory proceeding of bonus depreciation tax deductions, tariffs, the impact of any Pipeline and Hazardous Materials Safety Administration rulemaking or proposed rulemaking, the amounts and timing for completion of estimated future capital expenditures,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changes in bank lending practices, the Company’s views regarding its liquidity position, ability to raise funds and receive external financing capacity and the intent and ability to issue various financing instruments and stock under our ATM program or otherwise, expectations with respect to future dividends and the Board’s current payout strategy, pension and postretirement benefits, assumptions used and the expectations regarding the treasury futures overlay, the effect of any other rate changes or regulatory proceedings, impacts of adopted or future ASUs, statements regarding future gas prices, gas purchase contracts and pipeline imbalance charges or claims related thereto, recoverability of regulatory assets, the impact of certain legal proceedings or claims, the remediation of the previously disclosed material weakness in internal control over financial reporting and the timing of such remediation, the implementation of the Company’s new financial statement consolidation software system, including any related changes to business processes and internal controls over financial reporting, the timing and scope of the potential 2028 Great Basin expansion project, the expected timing and fulfillment of Great Basin backlog performance obligations and the amounts expected to be recognized in future periods, the timing and results of future rate hearings, including any ongoing or future general rate cases and other proceedings, and pending approvals, including proposed regulatory mechanisms, or references to impacts believed to be timing-related, are forward-looking statements.</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number of important factors affecting the business and financial results of the Company could cause actual results to differ materially from those stated in the forward-looking statements. For a discussion of these and other factors that could impact future results,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Quantitative and Qualitative Disclosures About Market Risk </w:t>
      </w:r>
      <w:r>
        <w:rPr>
          <w:rFonts w:ascii="Times New Roman" w:cs="Times New Roman" w:eastAsia="Times New Roman" w:hAnsi="Times New Roman"/>
          <w:sz w:val="18"/>
          <w:szCs w:val="18"/>
          <w:color w:val="auto"/>
        </w:rPr>
        <w:t>in the Annual Report on Form 10-K for the year ended December 31,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Gas as of the date hereof, and the Company and Southwest Gas assume no obligation to update or revise any of their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par value and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11,517,031</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(3,063,363)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236,871</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8,806,556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8,690,539</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178,826</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576,645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Materials, supplies, and gas inventories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234,598</w:t>
            </w:r>
          </w:p>
        </w:tc>
        <w:tc>
          <w:tcPr>
            <w:tcW w:w="0" w:type="dxa"/>
            <w:vAlign w:val="bottom"/>
          </w:tcPr>
          <w:p>
            <w:pPr>
              <w:spacing w:after="0"/>
              <w:rPr>
                <w:sz w:val="1"/>
                <w:szCs w:val="1"/>
                <w:color w:val="auto"/>
              </w:rPr>
            </w:pPr>
          </w:p>
        </w:tc>
      </w:tr>
      <w:tr>
        <w:trPr>
          <w:trHeight w:val="207"/>
        </w:trPr>
        <w:tc>
          <w:tcPr>
            <w:tcW w:w="75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1,192,092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356,865</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364,784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368,020</w:t>
            </w:r>
          </w:p>
        </w:tc>
        <w:tc>
          <w:tcPr>
            <w:tcW w:w="0" w:type="dxa"/>
            <w:vAlign w:val="bottom"/>
          </w:tcPr>
          <w:p>
            <w:pPr>
              <w:spacing w:after="0"/>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10,406,646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10,429,477</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$1 par (authorized - 120,000,000 shares;</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74,003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73,854</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- 72,373,216 and 72,224,593 shares)</w:t>
            </w:r>
          </w:p>
        </w:tc>
        <w:tc>
          <w:tcPr>
            <w:tcW w:w="2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2,898,965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1,160,327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1,022,846</w:t>
            </w:r>
          </w:p>
        </w:tc>
        <w:tc>
          <w:tcPr>
            <w:tcW w:w="0" w:type="dxa"/>
            <w:vAlign w:val="bottom"/>
          </w:tcPr>
          <w:p>
            <w:pPr>
              <w:spacing w:after="0"/>
              <w:rPr>
                <w:sz w:val="1"/>
                <w:szCs w:val="1"/>
                <w:color w:val="auto"/>
              </w:rPr>
            </w:pPr>
          </w:p>
        </w:tc>
      </w:tr>
      <w:tr>
        <w:trPr>
          <w:trHeight w:val="207"/>
        </w:trPr>
        <w:tc>
          <w:tcPr>
            <w:tcW w:w="75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4,101,678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3,961,119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3,433,929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3,433,012</w:t>
            </w:r>
          </w:p>
        </w:tc>
        <w:tc>
          <w:tcPr>
            <w:tcW w:w="0" w:type="dxa"/>
            <w:vAlign w:val="bottom"/>
          </w:tcPr>
          <w:p>
            <w:pPr>
              <w:spacing w:after="0"/>
              <w:rPr>
                <w:sz w:val="1"/>
                <w:szCs w:val="1"/>
                <w:color w:val="auto"/>
              </w:rPr>
            </w:pPr>
          </w:p>
        </w:tc>
      </w:tr>
      <w:tr>
        <w:trPr>
          <w:trHeight w:val="207"/>
        </w:trPr>
        <w:tc>
          <w:tcPr>
            <w:tcW w:w="75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7,535,607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7,394,131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225,732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54,384</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310,085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declared</w:t>
            </w:r>
          </w:p>
        </w:tc>
        <w:tc>
          <w:tcPr>
            <w:tcW w:w="2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117,350</w:t>
            </w:r>
          </w:p>
        </w:tc>
        <w:tc>
          <w:tcPr>
            <w:tcW w:w="0" w:type="dxa"/>
            <w:vAlign w:val="bottom"/>
          </w:tcPr>
          <w:p>
            <w:pPr>
              <w:spacing w:after="0"/>
              <w:rPr>
                <w:sz w:val="1"/>
                <w:szCs w:val="1"/>
                <w:color w:val="auto"/>
              </w:rPr>
            </w:pPr>
          </w:p>
        </w:tc>
      </w:tr>
      <w:tr>
        <w:trPr>
          <w:trHeight w:val="207"/>
        </w:trPr>
        <w:tc>
          <w:tcPr>
            <w:tcW w:w="75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929,898</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977,312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496,000</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632,136</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2,141,081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2,105,448</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10,406,646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10,429,477</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257" w:right="37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7" w:right="3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March 31,</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585,119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746,416</w:t>
            </w: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8860" w:type="dxa"/>
            <w:vAlign w:val="bottom"/>
            <w:tcBorders>
              <w:top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746,416</w:t>
            </w:r>
          </w:p>
        </w:tc>
      </w:tr>
      <w:tr>
        <w:trPr>
          <w:trHeight w:val="193"/>
        </w:trPr>
        <w:tc>
          <w:tcPr>
            <w:tcW w:w="8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284,579</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130,667</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93,690</w:t>
            </w:r>
          </w:p>
        </w:tc>
      </w:tr>
      <w:tr>
        <w:trPr>
          <w:trHeight w:val="213"/>
        </w:trPr>
        <w:tc>
          <w:tcPr>
            <w:tcW w:w="60" w:type="dxa"/>
            <w:vAlign w:val="bottom"/>
            <w:tcBorders>
              <w:bottom w:val="single" w:sz="8" w:color="CCEEFF"/>
            </w:tcBorders>
          </w:tcPr>
          <w:p>
            <w:pPr>
              <w:spacing w:after="0"/>
              <w:rPr>
                <w:sz w:val="18"/>
                <w:szCs w:val="18"/>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23,761</w:t>
            </w:r>
          </w:p>
        </w:tc>
      </w:tr>
      <w:tr>
        <w:trPr>
          <w:trHeight w:val="212"/>
        </w:trPr>
        <w:tc>
          <w:tcPr>
            <w:tcW w:w="60" w:type="dxa"/>
            <w:vAlign w:val="bottom"/>
            <w:shd w:val="clear" w:color="auto" w:fill="CCEEFF"/>
          </w:tcPr>
          <w:p>
            <w:pPr>
              <w:spacing w:after="0"/>
              <w:rPr>
                <w:sz w:val="18"/>
                <w:szCs w:val="18"/>
                <w:color w:val="auto"/>
              </w:rPr>
            </w:pPr>
          </w:p>
        </w:tc>
        <w:tc>
          <w:tcPr>
            <w:tcW w:w="88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365,773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532,697</w:t>
            </w:r>
          </w:p>
        </w:tc>
      </w:tr>
      <w:tr>
        <w:trPr>
          <w:trHeight w:val="207"/>
        </w:trPr>
        <w:tc>
          <w:tcPr>
            <w:tcW w:w="8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219,346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213,719</w:t>
            </w:r>
          </w:p>
        </w:tc>
      </w:tr>
      <w:tr>
        <w:trPr>
          <w:trHeight w:val="199"/>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(54,419)</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w:t>
            </w:r>
          </w:p>
        </w:tc>
      </w:tr>
      <w:tr>
        <w:trPr>
          <w:trHeight w:val="207"/>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(45,224)</w:t>
            </w:r>
          </w:p>
        </w:tc>
      </w:tr>
      <w:tr>
        <w:trPr>
          <w:trHeight w:val="212"/>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168,495</w:t>
            </w:r>
          </w:p>
        </w:tc>
      </w:tr>
      <w:tr>
        <w:trPr>
          <w:trHeight w:val="213"/>
        </w:trPr>
        <w:tc>
          <w:tcPr>
            <w:tcW w:w="8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34,207</w:t>
            </w:r>
          </w:p>
        </w:tc>
      </w:tr>
      <w:tr>
        <w:trPr>
          <w:trHeight w:val="212"/>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134,288</w:t>
            </w:r>
          </w:p>
        </w:tc>
      </w:tr>
      <w:tr>
        <w:trPr>
          <w:trHeight w:val="213"/>
        </w:trPr>
        <w:tc>
          <w:tcPr>
            <w:tcW w:w="8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income 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(25,101)</w:t>
            </w:r>
          </w:p>
        </w:tc>
      </w:tr>
      <w:tr>
        <w:trPr>
          <w:trHeight w:val="212"/>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109,187</w:t>
            </w:r>
          </w:p>
        </w:tc>
      </w:tr>
      <w:tr>
        <w:trPr>
          <w:trHeight w:val="213"/>
        </w:trPr>
        <w:tc>
          <w:tcPr>
            <w:tcW w:w="60" w:type="dxa"/>
            <w:vAlign w:val="bottom"/>
            <w:tcBorders>
              <w:bottom w:val="single" w:sz="8" w:color="CCEEFF"/>
            </w:tcBorders>
          </w:tcPr>
          <w:p>
            <w:pPr>
              <w:spacing w:after="0"/>
              <w:rPr>
                <w:sz w:val="18"/>
                <w:szCs w:val="18"/>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w:t>
            </w:r>
          </w:p>
        </w:tc>
      </w:tr>
      <w:tr>
        <w:trPr>
          <w:trHeight w:val="237"/>
        </w:trPr>
        <w:tc>
          <w:tcPr>
            <w:tcW w:w="8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Southwest Gas Holdings,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113,870</w:t>
            </w:r>
          </w:p>
        </w:tc>
      </w:tr>
      <w:tr>
        <w:trPr>
          <w:trHeight w:val="20"/>
        </w:trPr>
        <w:tc>
          <w:tcPr>
            <w:tcW w:w="8920" w:type="dxa"/>
            <w:vAlign w:val="bottom"/>
            <w:tcBorders>
              <w:top w:val="single" w:sz="8" w:color="CCEEFF"/>
            </w:tcBorders>
            <w:gridSpan w:val="4"/>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10"/>
        </w:trPr>
        <w:tc>
          <w:tcPr>
            <w:tcW w:w="8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8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60" w:type="dxa"/>
            <w:vAlign w:val="bottom"/>
            <w:tcBorders>
              <w:bottom w:val="single" w:sz="8" w:color="CCEEFF"/>
            </w:tcBorders>
          </w:tcPr>
          <w:p>
            <w:pPr>
              <w:spacing w:after="0"/>
              <w:rPr>
                <w:sz w:val="18"/>
                <w:szCs w:val="18"/>
                <w:color w:val="auto"/>
              </w:rPr>
            </w:pPr>
          </w:p>
        </w:tc>
        <w:tc>
          <w:tcPr>
            <w:tcW w:w="88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37"/>
        </w:trPr>
        <w:tc>
          <w:tcPr>
            <w:tcW w:w="8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0"/>
        </w:trPr>
        <w:tc>
          <w:tcPr>
            <w:tcW w:w="8920" w:type="dxa"/>
            <w:vAlign w:val="bottom"/>
            <w:tcBorders>
              <w:top w:val="single" w:sz="8" w:color="CCEEFF"/>
            </w:tcBorders>
            <w:gridSpan w:val="4"/>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72,012</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72,138</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3"/>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9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6"/>
                <w:szCs w:val="16"/>
                <w:color w:val="auto"/>
              </w:rPr>
              <w:t>March 31,</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109,187</w:t>
            </w:r>
          </w:p>
        </w:tc>
      </w:tr>
      <w:tr>
        <w:trPr>
          <w:trHeight w:val="193"/>
        </w:trPr>
        <w:tc>
          <w:tcPr>
            <w:tcW w:w="8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 net of tax of $11 and $11, respectively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 net of tax of $606 and $226, respectively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3"/>
        </w:trPr>
        <w:tc>
          <w:tcPr>
            <w:tcW w:w="60" w:type="dxa"/>
            <w:vAlign w:val="bottom"/>
            <w:tcBorders>
              <w:bottom w:val="single" w:sz="8" w:color="CCEEFF"/>
            </w:tcBorders>
          </w:tcPr>
          <w:p>
            <w:pPr>
              <w:spacing w:after="0"/>
              <w:rPr>
                <w:sz w:val="18"/>
                <w:szCs w:val="18"/>
                <w:color w:val="auto"/>
              </w:rPr>
            </w:pPr>
          </w:p>
        </w:tc>
        <w:tc>
          <w:tcPr>
            <w:tcW w:w="886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Regulatory adjustment, net of tax of ($477) and ($152), respectively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2"/>
        </w:trPr>
        <w:tc>
          <w:tcPr>
            <w:tcW w:w="60" w:type="dxa"/>
            <w:vAlign w:val="bottom"/>
            <w:shd w:val="clear" w:color="auto" w:fill="CCEEFF"/>
          </w:tcPr>
          <w:p>
            <w:pPr>
              <w:spacing w:after="0"/>
              <w:rPr>
                <w:sz w:val="18"/>
                <w:szCs w:val="18"/>
                <w:color w:val="auto"/>
              </w:rPr>
            </w:pPr>
          </w:p>
        </w:tc>
        <w:tc>
          <w:tcPr>
            <w:tcW w:w="8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7"/>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6"/>
                <w:szCs w:val="16"/>
                <w:color w:val="auto"/>
              </w:rPr>
              <w:t>Other comprehensive income related to discontinued operations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07"/>
        </w:trPr>
        <w:tc>
          <w:tcPr>
            <w:tcW w:w="8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109,559</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r>
      <w:tr>
        <w:trPr>
          <w:trHeight w:val="210"/>
        </w:trPr>
        <w:tc>
          <w:tcPr>
            <w:tcW w:w="8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Southwest Gas Holdings,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138,820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114,222</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March 31, 2026</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12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Borders>
              <w:right w:val="single" w:sz="8" w:color="CCEEFF"/>
            </w:tcBorders>
          </w:tcPr>
          <w:p>
            <w:pPr>
              <w:spacing w:after="0"/>
              <w:rPr>
                <w:sz w:val="17"/>
                <w:szCs w:val="17"/>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Income (loss) from discontinued operations, net of income tax</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Income from continuing operations, net of income tax</w:t>
            </w:r>
          </w:p>
        </w:tc>
        <w:tc>
          <w:tcPr>
            <w:tcW w:w="9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(used) by operating activities of discontinued operations</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7780" w:type="dxa"/>
            <w:vAlign w:val="bottom"/>
            <w:tcBorders>
              <w:top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162,135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Capital expenditures and property additions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(208,720)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 of continuing operations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(203,625)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(used) in investing activities of discontinued operations</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(used) in investing activities</w:t>
            </w:r>
          </w:p>
        </w:tc>
        <w:tc>
          <w:tcPr>
            <w:tcW w:w="9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(203,625)</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Borders>
              <w:right w:val="single" w:sz="8" w:color="CCEEFF"/>
            </w:tcBorders>
          </w:tcPr>
          <w:p>
            <w:pPr>
              <w:spacing w:after="0"/>
              <w:rPr>
                <w:sz w:val="17"/>
                <w:szCs w:val="17"/>
                <w:color w:val="auto"/>
              </w:rPr>
            </w:pPr>
          </w:p>
        </w:tc>
        <w:tc>
          <w:tcPr>
            <w:tcW w:w="7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 of continuing operations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(used) in financing activities of discontinued operations</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7780" w:type="dxa"/>
            <w:vAlign w:val="bottom"/>
            <w:tcBorders>
              <w:top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Effects of currency translation in discontinued operations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cash and cash equivalents, including discontinued operations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including discontinued operations, at beginning of period</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576,645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CCEEFF"/>
            </w:tcBorders>
          </w:tcPr>
          <w:p>
            <w:pPr>
              <w:spacing w:after="0"/>
              <w:rPr>
                <w:sz w:val="19"/>
                <w:szCs w:val="19"/>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including discontinued operations,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7780" w:type="dxa"/>
            <w:vAlign w:val="bottom"/>
            <w:tcBorders>
              <w:top w:val="single" w:sz="8" w:color="CCEEFF"/>
              <w:bottom w:val="single" w:sz="8" w:color="CCEEFF"/>
            </w:tcBorders>
            <w:gridSpan w:val="3"/>
            <w:vMerge w:val="restart"/>
          </w:tcPr>
          <w:p>
            <w:pPr>
              <w:jc w:val="center"/>
              <w:ind w:left="3238"/>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6"/>
        </w:trPr>
        <w:tc>
          <w:tcPr>
            <w:tcW w:w="60" w:type="dxa"/>
            <w:vAlign w:val="bottom"/>
            <w:vMerge w:val="continue"/>
          </w:tcPr>
          <w:p>
            <w:pPr>
              <w:spacing w:after="0"/>
              <w:rPr>
                <w:sz w:val="24"/>
                <w:szCs w:val="24"/>
                <w:color w:val="auto"/>
              </w:rPr>
            </w:pPr>
          </w:p>
        </w:tc>
        <w:tc>
          <w:tcPr>
            <w:tcW w:w="778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9A9A9A"/>
            </w:tcBorders>
          </w:tcPr>
          <w:p>
            <w:pPr>
              <w:spacing w:after="0"/>
              <w:rPr>
                <w:sz w:val="17"/>
                <w:szCs w:val="17"/>
                <w:color w:val="auto"/>
              </w:rPr>
            </w:pPr>
          </w:p>
        </w:tc>
        <w:tc>
          <w:tcPr>
            <w:tcW w:w="28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8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 - continuing operations</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41,415</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49,759</w:t>
            </w:r>
          </w:p>
        </w:tc>
      </w:tr>
      <w:tr>
        <w:trPr>
          <w:trHeight w:val="21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 - discontinued operations</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20,216</w:t>
            </w:r>
          </w:p>
        </w:tc>
      </w:tr>
      <w:tr>
        <w:trPr>
          <w:trHeight w:val="207"/>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41,415</w:t>
            </w: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69,975</w:t>
            </w:r>
          </w:p>
        </w:tc>
      </w:tr>
      <w:tr>
        <w:trPr>
          <w:trHeight w:val="219"/>
        </w:trPr>
        <w:tc>
          <w:tcPr>
            <w:tcW w:w="7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(benefit) paid, net - continuing operations</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net - discontinued operations</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r>
      <w:tr>
        <w:trPr>
          <w:trHeight w:val="207"/>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paid, net</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6"/>
        </w:trPr>
        <w:tc>
          <w:tcPr>
            <w:tcW w:w="7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 continuing operations</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(29,800)</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w:t>
            </w:r>
          </w:p>
        </w:tc>
      </w:tr>
      <w:tr>
        <w:trPr>
          <w:trHeight w:val="21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 - discontinued operations</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w:t>
            </w:r>
          </w:p>
        </w:tc>
      </w:tr>
      <w:tr>
        <w:trPr>
          <w:trHeight w:val="207"/>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(29,800)</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0"/>
        </w:trPr>
        <w:tc>
          <w:tcPr>
            <w:tcW w:w="78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3"/>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AFUDC capitalized in regulated operations plant - continuing operations</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1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AFUDC capitalized in regulated operations plant - discontinued operations</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AFUDC capitalized in regulated operations plant</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3"/>
        </w:trPr>
        <w:tc>
          <w:tcPr>
            <w:tcW w:w="78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6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0" w:type="dxa"/>
            <w:vAlign w:val="bottom"/>
          </w:tcPr>
          <w:p>
            <w:pPr>
              <w:spacing w:after="0"/>
              <w:rPr>
                <w:sz w:val="1"/>
                <w:szCs w:val="1"/>
                <w:color w:val="auto"/>
              </w:rPr>
            </w:pPr>
          </w:p>
        </w:tc>
      </w:tr>
      <w:tr>
        <w:trPr>
          <w:trHeight w:val="961"/>
        </w:trPr>
        <w:tc>
          <w:tcPr>
            <w:tcW w:w="6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23"/>
          </w:tcPr>
          <w:p>
            <w:pPr>
              <w:jc w:val="center"/>
              <w:ind w:left="196"/>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40" w:type="dxa"/>
            <w:vAlign w:val="bottom"/>
            <w:gridSpan w:val="23"/>
          </w:tcPr>
          <w:p>
            <w:pPr>
              <w:jc w:val="center"/>
              <w:ind w:left="196"/>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15"/>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color w:val="auto"/>
              </w:rPr>
              <w:t>(Unaudited)</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ind w:left="8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39"/>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restart"/>
          </w:tcPr>
          <w:p>
            <w:pPr>
              <w:jc w:val="right"/>
              <w:ind w:right="178"/>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Value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20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72,224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73,854</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2,898,965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(34,546)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3,961,119</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138,374</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165"/>
        </w:trPr>
        <w:tc>
          <w:tcPr>
            <w:tcW w:w="4440" w:type="dxa"/>
            <w:vAlign w:val="bottom"/>
            <w:gridSpan w:val="9"/>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4"/>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March 31, 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72,373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74,003</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2,901,448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(34,100)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1,160,327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4,101,678</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gridSpan w:val="6"/>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40" w:type="dxa"/>
            <w:vAlign w:val="bottom"/>
            <w:tcBorders>
              <w:bottom w:val="single" w:sz="8" w:color="auto"/>
            </w:tcBorders>
            <w:gridSpan w:val="6"/>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Number of</w:t>
            </w: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Stated</w:t>
            </w:r>
          </w:p>
        </w:tc>
        <w:tc>
          <w:tcPr>
            <w:tcW w:w="140" w:type="dxa"/>
            <w:vAlign w:val="bottom"/>
          </w:tcPr>
          <w:p>
            <w:pPr>
              <w:spacing w:after="0"/>
              <w:rPr>
                <w:sz w:val="12"/>
                <w:szCs w:val="12"/>
                <w:color w:val="auto"/>
              </w:rPr>
            </w:pPr>
          </w:p>
        </w:tc>
        <w:tc>
          <w:tcPr>
            <w:tcW w:w="10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8"/>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6"/>
          </w:tcPr>
          <w:p>
            <w:pPr>
              <w:ind w:left="20"/>
              <w:spacing w:after="0" w:line="148" w:lineRule="exact"/>
              <w:rPr>
                <w:sz w:val="20"/>
                <w:szCs w:val="20"/>
                <w:color w:val="auto"/>
              </w:rPr>
            </w:pPr>
            <w:r>
              <w:rPr>
                <w:rFonts w:ascii="Times New Roman" w:cs="Times New Roman" w:eastAsia="Times New Roman" w:hAnsi="Times New Roman"/>
                <w:sz w:val="16"/>
                <w:szCs w:val="16"/>
                <w:color w:val="auto"/>
              </w:rPr>
              <w:t>Southwest Gas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6"/>
                <w:szCs w:val="16"/>
                <w:color w:val="auto"/>
              </w:rPr>
              <w:t>Noncontrolling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AOCI</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6"/>
          </w:tcPr>
          <w:p>
            <w:pPr>
              <w:ind w:left="4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w w:val="99"/>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8"/>
              </w:rPr>
              <w:t>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8"/>
              </w:rPr>
              <w:t>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Interest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(49,218)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113,870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holders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period, less amortization of</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unamortized benefit plan cost, net of</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71,911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2,726,758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(48,866)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827,453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3,578,886</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172,559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3,751,445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r>
        <w:trPr>
          <w:trHeight w:val="866"/>
        </w:trPr>
        <w:tc>
          <w:tcPr>
            <w:tcW w:w="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gridSpan w:val="2"/>
          </w:tcPr>
          <w:p>
            <w:pPr>
              <w:jc w:val="center"/>
              <w:ind w:right="1079"/>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60" w:type="dxa"/>
            <w:vAlign w:val="bottom"/>
            <w:gridSpan w:val="2"/>
          </w:tcPr>
          <w:p>
            <w:pPr>
              <w:jc w:val="center"/>
              <w:ind w:right="1079"/>
              <w:spacing w:after="0"/>
              <w:rPr>
                <w:sz w:val="20"/>
                <w:szCs w:val="20"/>
                <w:color w:val="auto"/>
              </w:rPr>
            </w:pPr>
            <w:r>
              <w:rPr>
                <w:rFonts w:ascii="Times New Roman" w:cs="Times New Roman" w:eastAsia="Times New Roman" w:hAnsi="Times New Roman"/>
                <w:sz w:val="18"/>
                <w:szCs w:val="18"/>
                <w:color w:val="auto"/>
              </w:rPr>
              <w:t>(Unaudited)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4"/>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199"/>
        </w:trPr>
        <w:tc>
          <w:tcPr>
            <w:tcW w:w="40" w:type="dxa"/>
            <w:vAlign w:val="bottom"/>
          </w:tcPr>
          <w:p>
            <w:pPr>
              <w:spacing w:after="0"/>
              <w:rPr>
                <w:sz w:val="17"/>
                <w:szCs w:val="17"/>
                <w:color w:val="auto"/>
              </w:rPr>
            </w:pPr>
          </w:p>
        </w:tc>
        <w:tc>
          <w:tcPr>
            <w:tcW w:w="44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9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33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11,517,031</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(3,063,363)</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9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236,871</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42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8,806,556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8,690,539</w:t>
            </w:r>
          </w:p>
        </w:tc>
        <w:tc>
          <w:tcPr>
            <w:tcW w:w="2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9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169,947</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56,408</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170,524</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Receivable from parent</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105,550</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Materials, supplies, and gas inventories</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234,003</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4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9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768,129</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351,149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354,221</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4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9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365,376</w:t>
            </w:r>
          </w:p>
        </w:tc>
        <w:tc>
          <w:tcPr>
            <w:tcW w:w="2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9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10,011,742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9,993,991</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33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2,195,489</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1,451,880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1,314,911</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4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3,524,966</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4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3,433,929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3,433,012</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4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9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7,096,377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6,957,978</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225,337</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54,384</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35,319</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310,085</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117,350</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4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9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884,724</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1,027,921</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496,000</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9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627,368</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42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2,181,563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2,151,289</w:t>
            </w:r>
          </w:p>
        </w:tc>
        <w:tc>
          <w:tcPr>
            <w:tcW w:w="20" w:type="dxa"/>
            <w:vAlign w:val="bottom"/>
          </w:tcPr>
          <w:p>
            <w:pPr>
              <w:spacing w:after="0"/>
              <w:rPr>
                <w:sz w:val="17"/>
                <w:szCs w:val="17"/>
                <w:color w:val="auto"/>
              </w:rPr>
            </w:pPr>
          </w:p>
        </w:tc>
      </w:tr>
      <w:tr>
        <w:trPr>
          <w:trHeight w:val="235"/>
        </w:trPr>
        <w:tc>
          <w:tcPr>
            <w:tcW w:w="40" w:type="dxa"/>
            <w:vAlign w:val="bottom"/>
          </w:tcPr>
          <w:p>
            <w:pPr>
              <w:spacing w:after="0"/>
              <w:rPr>
                <w:sz w:val="19"/>
                <w:szCs w:val="19"/>
                <w:color w:val="auto"/>
              </w:rPr>
            </w:pPr>
          </w:p>
        </w:tc>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9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10,011,742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9,993,991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20"/>
          </w:cols>
          <w:pgMar w:left="380" w:top="257"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2"/>
          </w:tcPr>
          <w:p>
            <w:pPr>
              <w:jc w:val="center"/>
              <w:ind w:right="93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gridSpan w:val="2"/>
          </w:tcPr>
          <w:p>
            <w:pPr>
              <w:jc w:val="center"/>
              <w:ind w:right="959"/>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gridSpan w:val="2"/>
          </w:tcPr>
          <w:p>
            <w:pPr>
              <w:jc w:val="center"/>
              <w:ind w:right="959"/>
              <w:spacing w:after="0"/>
              <w:rPr>
                <w:sz w:val="20"/>
                <w:szCs w:val="20"/>
                <w:color w:val="auto"/>
              </w:rPr>
            </w:pPr>
            <w:r>
              <w:rPr>
                <w:rFonts w:ascii="Times New Roman" w:cs="Times New Roman" w:eastAsia="Times New Roman" w:hAnsi="Times New Roman"/>
                <w:sz w:val="18"/>
                <w:szCs w:val="18"/>
                <w:color w:val="auto"/>
              </w:rPr>
              <w:t>(In thousands)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40" w:type="dxa"/>
            <w:vAlign w:val="bottom"/>
            <w:gridSpan w:val="2"/>
          </w:tcPr>
          <w:p>
            <w:pPr>
              <w:jc w:val="center"/>
              <w:ind w:right="959"/>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9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6"/>
                <w:szCs w:val="16"/>
                <w:color w:val="auto"/>
              </w:rPr>
              <w:t>March 31,</w:t>
            </w: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2025</w:t>
            </w:r>
          </w:p>
        </w:tc>
      </w:tr>
      <w:tr>
        <w:trPr>
          <w:trHeight w:val="207"/>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5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585,119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748,516</w:t>
            </w:r>
          </w:p>
        </w:tc>
      </w:tr>
      <w:tr>
        <w:trPr>
          <w:trHeight w:val="19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5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284,579</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5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129,407</w:t>
            </w: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93,690</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58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23,761</w:t>
            </w:r>
          </w:p>
        </w:tc>
      </w:tr>
      <w:tr>
        <w:trPr>
          <w:trHeight w:val="20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364,275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531,437</w:t>
            </w:r>
          </w:p>
        </w:tc>
      </w:tr>
      <w:tr>
        <w:trPr>
          <w:trHeight w:val="212"/>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5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220,844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217,079</w:t>
            </w:r>
          </w:p>
        </w:tc>
      </w:tr>
      <w:tr>
        <w:trPr>
          <w:trHeight w:val="19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5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(44,631)</w:t>
            </w:r>
          </w:p>
        </w:tc>
      </w:tr>
      <w:tr>
        <w:trPr>
          <w:trHeight w:val="213"/>
        </w:trPr>
        <w:tc>
          <w:tcPr>
            <w:tcW w:w="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5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9,302</w:t>
            </w:r>
          </w:p>
        </w:tc>
      </w:tr>
      <w:tr>
        <w:trPr>
          <w:trHeight w:val="212"/>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5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(35,329)</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181,750</w:t>
            </w: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58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39,155</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8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3"/>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9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38"/>
              <w:spacing w:after="0"/>
              <w:rPr>
                <w:sz w:val="20"/>
                <w:szCs w:val="20"/>
                <w:color w:val="auto"/>
              </w:rPr>
            </w:pPr>
            <w:r>
              <w:rPr>
                <w:rFonts w:ascii="Times New Roman" w:cs="Times New Roman" w:eastAsia="Times New Roman" w:hAnsi="Times New Roman"/>
                <w:sz w:val="16"/>
                <w:szCs w:val="16"/>
                <w:color w:val="auto"/>
              </w:rPr>
              <w:t>March 31,</w:t>
            </w: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2025</w:t>
            </w:r>
          </w:p>
        </w:tc>
      </w:tr>
      <w:tr>
        <w:trPr>
          <w:trHeight w:val="207"/>
        </w:trPr>
        <w:tc>
          <w:tcPr>
            <w:tcW w:w="8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199"/>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 net of tax of $11 and $11, respectively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 net of tax of $606 and $226, respectively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Regulatory adjustment, net of tax of ($477) and ($152),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07"/>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2"/>
        </w:trPr>
        <w:tc>
          <w:tcPr>
            <w:tcW w:w="8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7"/>
        </w:trPr>
        <w:tc>
          <w:tcPr>
            <w:tcW w:w="89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138,217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142,863</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gridSpan w:val="4"/>
          </w:tcPr>
          <w:p>
            <w:pPr>
              <w:jc w:val="right"/>
              <w:ind w:right="938"/>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93,690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40,375</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Receivable from parent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(24,642)</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(20,928)</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213,897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285,832</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Capital expenditures and property additions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(208,720)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(163,134)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(202,287)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(163,272)</w:t>
            </w:r>
          </w:p>
        </w:tc>
        <w:tc>
          <w:tcPr>
            <w:tcW w:w="0" w:type="dxa"/>
            <w:vAlign w:val="bottom"/>
          </w:tcPr>
          <w:p>
            <w:pPr>
              <w:spacing w:after="0"/>
              <w:rPr>
                <w:sz w:val="1"/>
                <w:szCs w:val="1"/>
                <w:color w:val="auto"/>
              </w:rPr>
            </w:pPr>
          </w:p>
        </w:tc>
      </w:tr>
      <w:tr>
        <w:trPr>
          <w:trHeight w:val="19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(47,224)</w:t>
            </w:r>
          </w:p>
        </w:tc>
        <w:tc>
          <w:tcPr>
            <w:tcW w:w="0" w:type="dxa"/>
            <w:vAlign w:val="bottom"/>
          </w:tcPr>
          <w:p>
            <w:pPr>
              <w:spacing w:after="0"/>
              <w:rPr>
                <w:sz w:val="1"/>
                <w:szCs w:val="1"/>
                <w:color w:val="auto"/>
              </w:rPr>
            </w:pPr>
          </w:p>
        </w:tc>
      </w:tr>
      <w:tr>
        <w:trPr>
          <w:trHeight w:val="207"/>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75,336</w:t>
            </w:r>
          </w:p>
        </w:tc>
        <w:tc>
          <w:tcPr>
            <w:tcW w:w="0" w:type="dxa"/>
            <w:vAlign w:val="bottom"/>
          </w:tcPr>
          <w:p>
            <w:pPr>
              <w:spacing w:after="0"/>
              <w:rPr>
                <w:sz w:val="1"/>
                <w:szCs w:val="1"/>
                <w:color w:val="auto"/>
              </w:rPr>
            </w:pPr>
          </w:p>
        </w:tc>
      </w:tr>
      <w:tr>
        <w:trPr>
          <w:trHeight w:val="21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0" w:type="dxa"/>
            <w:vAlign w:val="bottom"/>
          </w:tcPr>
          <w:p>
            <w:pPr>
              <w:spacing w:after="0"/>
              <w:rPr>
                <w:sz w:val="1"/>
                <w:szCs w:val="1"/>
                <w:color w:val="auto"/>
              </w:rPr>
            </w:pPr>
          </w:p>
        </w:tc>
      </w:tr>
      <w:tr>
        <w:trPr>
          <w:trHeight w:val="207"/>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60,265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386,409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41,415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40,216</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7780" w:type="dxa"/>
            <w:vAlign w:val="bottom"/>
            <w:gridSpan w:val="3"/>
            <w:vMerge w:val="continue"/>
          </w:tcPr>
          <w:p>
            <w:pPr>
              <w:spacing w:after="0"/>
              <w:rPr>
                <w:sz w:val="16"/>
                <w:szCs w:val="16"/>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(29,800)</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Equity AFUDC capitalized in regulated operations plant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0"/>
          </w:tcPr>
          <w:p>
            <w:pPr>
              <w:jc w:val="center"/>
              <w:ind w:left="15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60" w:type="dxa"/>
            <w:vAlign w:val="bottom"/>
            <w:gridSpan w:val="12"/>
          </w:tcPr>
          <w:p>
            <w:pPr>
              <w:jc w:val="center"/>
              <w:ind w:right="56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9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60" w:type="dxa"/>
            <w:vAlign w:val="bottom"/>
          </w:tcPr>
          <w:p>
            <w:pPr>
              <w:spacing w:after="0"/>
              <w:rPr>
                <w:sz w:val="14"/>
                <w:szCs w:val="14"/>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1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2,195,489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1,314,911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3,524,966</w:t>
            </w:r>
          </w:p>
        </w:tc>
        <w:tc>
          <w:tcPr>
            <w:tcW w:w="0" w:type="dxa"/>
            <w:vAlign w:val="bottom"/>
          </w:tcPr>
          <w:p>
            <w:pPr>
              <w:spacing w:after="0"/>
              <w:rPr>
                <w:sz w:val="1"/>
                <w:szCs w:val="1"/>
                <w:color w:val="auto"/>
              </w:rPr>
            </w:pPr>
          </w:p>
        </w:tc>
      </w:tr>
      <w:tr>
        <w:trPr>
          <w:trHeight w:val="21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137,771</w:t>
            </w:r>
          </w:p>
        </w:tc>
        <w:tc>
          <w:tcPr>
            <w:tcW w:w="0" w:type="dxa"/>
            <w:vAlign w:val="bottom"/>
          </w:tcPr>
          <w:p>
            <w:pPr>
              <w:spacing w:after="0"/>
              <w:rPr>
                <w:sz w:val="1"/>
                <w:szCs w:val="1"/>
                <w:color w:val="auto"/>
              </w:rPr>
            </w:pP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5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162"/>
        </w:trPr>
        <w:tc>
          <w:tcPr>
            <w:tcW w:w="558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5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2026</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1,451,880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3,662,448</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98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60" w:type="dxa"/>
            <w:vAlign w:val="bottom"/>
          </w:tcPr>
          <w:p>
            <w:pPr>
              <w:spacing w:after="0"/>
              <w:rPr>
                <w:sz w:val="14"/>
                <w:szCs w:val="14"/>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1,059,773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3,235,486</w:t>
            </w:r>
          </w:p>
        </w:tc>
        <w:tc>
          <w:tcPr>
            <w:tcW w:w="0" w:type="dxa"/>
            <w:vAlign w:val="bottom"/>
          </w:tcPr>
          <w:p>
            <w:pPr>
              <w:spacing w:after="0"/>
              <w:rPr>
                <w:sz w:val="1"/>
                <w:szCs w:val="1"/>
                <w:color w:val="auto"/>
              </w:rPr>
            </w:pPr>
          </w:p>
        </w:tc>
      </w:tr>
      <w:tr>
        <w:trPr>
          <w:trHeight w:val="21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142,595</w:t>
            </w:r>
          </w:p>
        </w:tc>
        <w:tc>
          <w:tcPr>
            <w:tcW w:w="0" w:type="dxa"/>
            <w:vAlign w:val="bottom"/>
          </w:tcPr>
          <w:p>
            <w:pPr>
              <w:spacing w:after="0"/>
              <w:rPr>
                <w:sz w:val="1"/>
                <w:szCs w:val="1"/>
                <w:color w:val="auto"/>
              </w:rPr>
            </w:pP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5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162"/>
        </w:trPr>
        <w:tc>
          <w:tcPr>
            <w:tcW w:w="558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5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3,380,149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Organization</w:t>
      </w:r>
    </w:p>
    <w:p>
      <w:pPr>
        <w:spacing w:after="0" w:line="119"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The Company, a Delaware corporation, is a holding company owning all of the shares of common stock of Southwest Gas,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corporation. The Company’s common stock trades under the ticker symbol “SWX.”</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deconsolidation of Centuri in August 2025, the Company’s businesses were managed within two separate reportable segments, our Natural Gas Distribution segment (Southwest Gas) and our Utility Infrastructure Services segment (Centuri). After August 2025, our business is solely comprised of our Natural Gas Distribution segment.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While mechanisms exist in all states in which Southwest Gas operates, which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the Company and Southwest Gas included herein have been prepared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and regulations of the SEC. The year-end 2025 consolidated balance sheet data was derived from audited financial statements. Certain information and footnote disclosures normally included in financial statements prepared in accordance with U.S. GAAP have been condensed or omitted pursuant to such rules and regulations.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On August 11, 2025, the Company completed a secondary public offering and a concurrent private placement transaction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Icahn investment entities. These transactions resulted in the sale of a combined total of 18,823,500 shares of Centuri common stock previously held by the Company. Following the completion of these transactions, the Company no longer maintained a controlling financial interest in Centuri. Accordingly, Centuri’s assets, liabilities, and results of operations are no longer included in the Company’s condensed consolidated financial statements.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sale of Centuri, which comprised the Company’s Utility Infrastructure Services segment, represented a strategic shift that had a significant impact on the Company’s operations and financial results. Therefore, Centuri met the criteria to be reported as discontinued operations in accordance with U.S. GAAP. The results of discontinued operations are aggregated and presented separately in the Condensed Consolidated Statements of Income and Condensed Consolidated Statements of Cash Flows for all periods presented. Unless otherwise noted, the financial disclosures and related information provided herein relate to our continuing operations, which exclude our former Utility Infrastructure Services segment, and prior period amounts have been recast to reflect discontinued operations.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The Company’s CEO and Southwest Gas’ CEO and Southwest Gas’ President have been identified as the CODM for each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CODM reviews the Company’s income (loss) from continuing operations and Southwest Gas’ net income as reported on their respective condensed consolidated statements of income in assessing performance and allocating resources. The CODM considers budget-to-actual variances against these metrics when making decisions about allocating capital and personnel. The CODM also uses income (loss) from continuing operations and net income to assess the return on assets, margin earned, and in assessing the compensation of certain employees.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Because both the Company and Southwest Gas operate as a single reportable segment, the related disclosure information is presented in the applicable sections. The other significant amounts required for disclosure are included within income (loss) from continuing operations and net income. Revenues from external customers are reported as “Revenues from contracts with customers” in </w:t>
      </w:r>
      <w:r>
        <w:rPr>
          <w:rFonts w:ascii="Times New Roman" w:cs="Times New Roman" w:eastAsia="Times New Roman" w:hAnsi="Times New Roman"/>
          <w:sz w:val="18"/>
          <w:szCs w:val="18"/>
          <w:b w:val="1"/>
          <w:bCs w:val="1"/>
          <w:color w:val="auto"/>
        </w:rPr>
        <w:t>Note 3 – Revenue</w:t>
      </w:r>
      <w:r>
        <w:rPr>
          <w:rFonts w:ascii="Times New Roman" w:cs="Times New Roman" w:eastAsia="Times New Roman" w:hAnsi="Times New Roman"/>
          <w:sz w:val="18"/>
          <w:szCs w:val="18"/>
          <w:color w:val="auto"/>
        </w:rPr>
        <w:t xml:space="preserve"> for the quarters ended March 31, 2026, and March 31, 2025, and capital expenditures are reported as “Capital expenditures and property additions” in the condensed consolidated statements of cash flows for the quarters ended March 31, 2026 and March 31, 2025. The measures of assets for the Company and Southwest Gas are reported as “Total assets” on their respective condensed consolidated balance sheets.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Gas and the Company included in our 2025 Annual Report on Form 10-K for the fiscal year ended December 31, 2025.</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 Gas’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165,551</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169,947</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Materials, supplies, and gas inventories. </w:t>
      </w:r>
      <w:r>
        <w:rPr>
          <w:rFonts w:ascii="Times New Roman" w:cs="Times New Roman" w:eastAsia="Times New Roman" w:hAnsi="Times New Roman"/>
          <w:sz w:val="18"/>
          <w:szCs w:val="18"/>
          <w:color w:val="auto"/>
        </w:rPr>
        <w:t>Materials, supplies, and gas inventories for Southwest Gas and the Company includes gas pipe materials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supplies of $76.6 million and $78.1 million as of March 31, 2026 and December 31, 2025, respectively (carried at weighted average cost).</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Gas include, among other things, $107.5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$91.1 million related to a regulatory asset associated with the Arizona decoupling mechanism as of March 31, 2026 and December 31, 2025, respectively, and regulatory asset associated with margin tracker for Southern Nevada of $35.9 million and $28.5 million as of March 31, 2026 and December 31, 2025, respectively.</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charges and other assets. </w:t>
      </w:r>
      <w:r>
        <w:rPr>
          <w:rFonts w:ascii="Times New Roman" w:cs="Times New Roman" w:eastAsia="Times New Roman" w:hAnsi="Times New Roman"/>
          <w:sz w:val="18"/>
          <w:szCs w:val="18"/>
          <w:color w:val="auto"/>
        </w:rPr>
        <w:t>Deferred charges and other assets for Southwest Gas and the Company include, among other things, cloud-based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of $37.6 million and $33.9 million as of March 31, 2026 and December 31, 2025, respectively, regulatory asset associated with pension for Arizona and Nevada of $244.5 million and $246.4 million as of March 31, 2026 and December 31, 2025, respectively.</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Accrued general taxes. </w:t>
      </w:r>
      <w:r>
        <w:rPr>
          <w:rFonts w:ascii="Times New Roman" w:cs="Times New Roman" w:eastAsia="Times New Roman" w:hAnsi="Times New Roman"/>
          <w:sz w:val="18"/>
          <w:szCs w:val="18"/>
          <w:color w:val="auto"/>
        </w:rPr>
        <w:t>Accrued general taxes for the Company and Southwest Gas include, among other things, $44.9 million and $27.1 million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taxes accrued as of March 31, 2026 and December 31, 2025.</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Company’s Condensed Consolidated Statements of Income: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31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29"/>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30"/>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investments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r>
      <w:tr>
        <w:trPr>
          <w:trHeight w:val="20"/>
        </w:trPr>
        <w:tc>
          <w:tcPr>
            <w:tcW w:w="7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for Southwest Gas relates to interest income earned on money market investments and interest income earned on Southwest Gas’ regulatory asset balances, including the Arizona decoupling mechanism. Interest income is earned on regulatory asset balances and interest expense is incurred on regulatory liability balances. Interest income for Southwest Gas Holdings, Inc. relates to interest income earned on money market investments. Refer also to </w:t>
      </w:r>
      <w:r>
        <w:rPr>
          <w:rFonts w:ascii="Times New Roman" w:cs="Times New Roman" w:eastAsia="Times New Roman" w:hAnsi="Times New Roman"/>
          <w:sz w:val="18"/>
          <w:szCs w:val="18"/>
          <w:b w:val="1"/>
          <w:bCs w:val="1"/>
          <w:color w:val="auto"/>
        </w:rPr>
        <w:t>Note 5 – Components of Net Periodic Benefit Cost</w:t>
      </w:r>
      <w:r>
        <w:rPr>
          <w:rFonts w:ascii="Times New Roman" w:cs="Times New Roman" w:eastAsia="Times New Roman" w:hAnsi="Times New Roman"/>
          <w:sz w:val="18"/>
          <w:szCs w:val="18"/>
          <w:color w:val="auto"/>
        </w:rPr>
        <w:t xml:space="preserve"> for details regarding Other components of net periodic benefit cost.</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EPS. </w:t>
      </w:r>
      <w:r>
        <w:rPr>
          <w:rFonts w:ascii="Times New Roman" w:cs="Times New Roman" w:eastAsia="Times New Roman" w:hAnsi="Times New Roman"/>
          <w:sz w:val="18"/>
          <w:szCs w:val="18"/>
          <w:color w:val="auto"/>
        </w:rPr>
        <w:t>Basic EPS in each period of this report were calculated by dividing net income attributable to the Company by the weighted-average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those periods. Diluted EPS includes additional weighted-average common stock</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equivalents (performance stock units and restricted stock units). Unless otherwise noted, the term EPS refers to Basic EPS. A reconciliation of the denominator used in Basic and Diluted EPS calculations is shown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3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vMerge w:val="continue"/>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Restricted stock units </w:t>
            </w:r>
            <w:r>
              <w:rPr>
                <w:rFonts w:ascii="Times New Roman" w:cs="Times New Roman" w:eastAsia="Times New Roman" w:hAnsi="Times New Roman"/>
                <w:sz w:val="23"/>
                <w:szCs w:val="23"/>
                <w:color w:val="auto"/>
                <w:vertAlign w:val="superscript"/>
              </w:rPr>
              <w:t>(1)(2)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72,566</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72,138</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hanging="10"/>
        <w:spacing w:after="0" w:line="230" w:lineRule="auto"/>
        <w:tabs>
          <w:tab w:leader="none" w:pos="3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 of securities included 105,000 and 110,000 performance stock units during the three months ended March 31, 2026 and March 31, 2025, respectively, the total of which was derived by assuming that target performance will be achieved during the relevant performance period.</w:t>
      </w:r>
    </w:p>
    <w:p>
      <w:pPr>
        <w:spacing w:after="0" w:line="1" w:lineRule="exact"/>
        <w:rPr>
          <w:rFonts w:ascii="Times New Roman" w:cs="Times New Roman" w:eastAsia="Times New Roman" w:hAnsi="Times New Roman"/>
          <w:sz w:val="21"/>
          <w:szCs w:val="21"/>
          <w:color w:val="auto"/>
          <w:vertAlign w:val="superscript"/>
        </w:rPr>
      </w:pPr>
    </w:p>
    <w:p>
      <w:pPr>
        <w:ind w:left="180" w:hanging="10"/>
        <w:spacing w:after="0" w:line="215" w:lineRule="auto"/>
        <w:tabs>
          <w:tab w:leader="none" w:pos="353"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 of anti-dilutive restricted stock units excluded from the calculation of diluted shares from discontinued operations during the three months ended March 31, 2025 is 126,000.</w:t>
      </w:r>
    </w:p>
    <w:p>
      <w:pPr>
        <w:spacing w:after="0" w:line="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25.0% for the three months ended March 31, 2026, compared to 20.3% for the corresponding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The higher effective tax rate was primarily due to pre-tax income differences, the amortization of excess deferred income taxes, nondeductible executive compensation, and state income taxes.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effective tax rate was 23.8% for the three months ended March 31, 2026, compared to 21.5% for the corresponding period in 2025. The higher effective tax rate was primarily due to pre-tax income differences, the amortization of excess deferred income taxes, and nondeductible executive compensation.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that will be effective in 2026 and thereafter:</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The update is effective for fiscal years beginning after December 15, 2026, and interim periods within fiscal years beginning after December 15, 2027; early adoption is permitted. The update should be applied prospectively; however, retrospective application is also permitted. Management is evaluating the impacts this update might have on the Company’s and Southwest Gas’ disclosures.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fiscal years; early adoption is permitted. Management is evaluating the impacts this update might have on the Company’s and Southwest Gas’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operating revenues, but not its operating margin, are directly impacted by variability between comparative periods in the cost of natural gas procured for customers as these costs are incorporated in customer rates. When included in rates (for customers except those taking transportation-only service), these costs are passed through to customers generally dollar-for-dollar without markup. Operating margin is a non-GAAP financial measure and should be considered in addition to, not as a substitute for, measures of financial performance prepared in accordance with GAAP. Southwest Gas’ revenues overall, reflected on the Condensed Consolidated Statements of Income of both the Company and Southwest Gas, include revenue from contracts with customers, which is shown below disaggregated by customer type, in addition to other categories of revenue:</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1160" w:type="dxa"/>
            <w:vAlign w:val="bottom"/>
            <w:tcBorders>
              <w:bottom w:val="single" w:sz="8" w:color="auto"/>
            </w:tcBorders>
          </w:tcPr>
          <w:p>
            <w:pPr>
              <w:spacing w:after="0"/>
              <w:rPr>
                <w:sz w:val="20"/>
                <w:szCs w:val="20"/>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561,639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29,566</w:t>
            </w: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756,757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r>
      <w:tr>
        <w:trPr>
          <w:trHeight w:val="229"/>
        </w:trPr>
        <w:tc>
          <w:tcPr>
            <w:tcW w:w="78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48"/>
        </w:trPr>
        <w:tc>
          <w:tcPr>
            <w:tcW w:w="784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Regulated operations revenues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Amounts include late fees and other miscellaneous revenues, and may also include the impact of certain regulatory mechanisms.</w:t>
      </w:r>
    </w:p>
    <w:p>
      <w:pPr>
        <w:ind w:left="360" w:hanging="190"/>
        <w:spacing w:after="0" w:line="187" w:lineRule="auto"/>
        <w:tabs>
          <w:tab w:leader="none" w:pos="3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amounts for the three months ended March 31, 2025 differ from Southwest Gas due to the revision discussed in </w:t>
      </w:r>
      <w:r>
        <w:rPr>
          <w:rFonts w:ascii="Times New Roman" w:cs="Times New Roman" w:eastAsia="Times New Roman" w:hAnsi="Times New Roman"/>
          <w:sz w:val="16"/>
          <w:szCs w:val="16"/>
          <w:b w:val="1"/>
          <w:bCs w:val="1"/>
          <w:color w:val="auto"/>
        </w:rPr>
        <w:t>Note 6 - Previously Issued Condensed</w:t>
      </w:r>
    </w:p>
    <w:p>
      <w:pPr>
        <w:ind w:left="1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color w:val="auto"/>
        </w:rPr>
        <w:t>Consolidated Financial Statement.</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March 31, 2026, the Company and Southwest had backlog performance obligations through Great Basin, excluding intercompany transactions,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totaling $53.5 million through August 31, 2029. Of the current backlog, $11.2 million is expected to be fulfilled within the year ended December 31, 2026, $15.9 million within the year ended December 31, 2027, $15.9 million within the year ended December 31, 2028, and $10.5 million within the year ended December 31, 2029. Under the terms of Great Basin’s current settlement agreement, new rates will become effective no later than September 1, 2029. Accordingly, the Company and Southwest Gas are unable to reasonably estimate performance obligations that may arise beyond September 1, 2029. The backlog consists of firm customer contracts for natural gas distribution services. The current backlog does not reflect any contracts or commitments associated with the potential 2028 Great Basin Expansion project. Seasonal fluctuation may impact the timing of fulfillment as demand for natural gas typically increases during winter months. The Company defines backlog as the aggregate value of signed contracts for which performance obligations remain unsatisfied.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 Gas’ Condensed Consolidated Balance Sheets generally at the carrying value of the obligations outstanding. Details surrounding the fair value and individual carrying values of instruments are provided in the table that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440" w:type="dxa"/>
            <w:vAlign w:val="bottom"/>
          </w:tcPr>
          <w:p>
            <w:pPr>
              <w:spacing w:after="0"/>
              <w:rPr>
                <w:sz w:val="14"/>
                <w:szCs w:val="14"/>
                <w:color w:val="auto"/>
              </w:rPr>
            </w:pPr>
          </w:p>
        </w:tc>
        <w:tc>
          <w:tcPr>
            <w:tcW w:w="780" w:type="dxa"/>
            <w:vAlign w:val="bottom"/>
          </w:tcPr>
          <w:p>
            <w:pPr>
              <w:jc w:val="center"/>
              <w:ind w:right="2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88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440" w:type="dxa"/>
            <w:vAlign w:val="bottom"/>
          </w:tcPr>
          <w:p>
            <w:pPr>
              <w:spacing w:after="0"/>
              <w:rPr>
                <w:sz w:val="21"/>
                <w:szCs w:val="21"/>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and Southwest Gas Corporation: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 Series, due August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76,388</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June 2027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September 2027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5.8%, due December 2027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3.7%, due April 2028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297,450</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5.45%, due February 2028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2.2%, due June 2030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409,365</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4.05%, due March 2032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579,540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6.1%, due February 2041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130,762</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4.875%, due October 2043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219,350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3.8%, due September 2046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228,180</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4.15%, due June 2049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3.18%, due August 2051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3,310,133</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3,309,293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December 2028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March 2038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March 2038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December 2039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198,796</w:t>
            </w: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198,719</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Southwest Gas Holdings, Inc. and Southwest Gas Corporation total long-term debt,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3,433,929</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3,433,012</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has a $400.0 million revolving credit facility that is scheduled to expire in August 2029. Southwest Gas designates $150.0 million of associated capacity as long-term debt and the remaining $250.0 million for working capital purposes. In June 2025, Southwest Gas amended this revolving credit agreement, which among other things, added a swingline loan sub-facility in an aggregate principal amount at any time outstanding not to exceed $30.0 million and added a one-week interest period option with an interest rate equal to Daily Simple SOFR plus 0.03839% plus the applicable margin. Southwest Gas is also required to pay a commitment fee on the unfunded portion of the commitments which ranges from 0.075% to 0.200%. At March 31, 2026, the applicable margin was 1.125% for loans bearing interest with reference to SOFR and 0.125% for loans bearing interest with reference to the alternative base rate. At March 31, 2026, no borrowings were outstanding on the long-term portion (including under the commercial paper program), nor under the short-term portion of the facility.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Southwest Gas Holdings has a $300.0 million revolving credit agreement that is scheduled to expire in August 2029. At March 31, 2026, the applicable margin is 1.125% for loans bearing interest to SOFR and 0.125% for loans bearing interest with</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to the alternative base. Southwest Gas Holdings has a one-week interest period option with an interest rate equal to Daily Simple SOFR plus 0.03839% plus the applicable margin. Southwest Gas Holdings is also required to pay a commitment fee on the unfunded portion of the commitments which ranges from 0.075% to 0.200%. The revolving credit agreement also contains a swingline loan sub-facility in an aggregate principal amount at any time outstanding not to exceed $30.0 million. At March 31, 2026, there were no borrowings outstanding under this credit facility.</w:t>
      </w:r>
    </w:p>
    <w:p>
      <w:pPr>
        <w:spacing w:after="0" w:line="72" w:lineRule="exact"/>
        <w:rPr>
          <w:sz w:val="20"/>
          <w:szCs w:val="20"/>
          <w:color w:val="auto"/>
        </w:rPr>
      </w:pPr>
    </w:p>
    <w:p>
      <w:pPr>
        <w:ind w:right="2660"/>
        <w:spacing w:after="0" w:line="375" w:lineRule="auto"/>
        <w:rPr>
          <w:sz w:val="20"/>
          <w:szCs w:val="20"/>
          <w:color w:val="auto"/>
        </w:rPr>
      </w:pPr>
      <w:r>
        <w:rPr>
          <w:rFonts w:ascii="Times New Roman" w:cs="Times New Roman" w:eastAsia="Times New Roman" w:hAnsi="Times New Roman"/>
          <w:sz w:val="18"/>
          <w:szCs w:val="18"/>
          <w:color w:val="auto"/>
        </w:rPr>
        <w:t xml:space="preserve">As indicated above in the Long-Term debt table, the 8% Series debenture for $75.0 million matures in August 2026. The weighted average interest rate of all short-term borrowings was 9.23% at March 31, 2026 and December 31, 2025. </w:t>
      </w:r>
      <w:r>
        <w:rPr>
          <w:rFonts w:ascii="Times New Roman" w:cs="Times New Roman" w:eastAsia="Times New Roman" w:hAnsi="Times New Roman"/>
          <w:sz w:val="18"/>
          <w:szCs w:val="18"/>
          <w:b w:val="1"/>
          <w:bCs w:val="1"/>
          <w:color w:val="auto"/>
        </w:rPr>
        <w:t>Note 5 – Components of Net Periodic Benefit Cost</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Southwest Gas' net periodic benefit cost for its QRP, SERP, and PBOP for the three months ended March 31, 2026 and 2025 are presented in the following tables.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4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6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Previously Issued Condensed Consolidated Financial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2025 Form 10-K for Southwest Gas, management identified errors in the calculation of the estimated deferred income tax liabilities associated with state income taxes. The issues result from not timely updating estimated apportionment rates to reflect certain events. For Southwest Gas, the errors date back to the formation of Southwest Gas Holdings in 2017, when Southwest Gas and Centuri became wholly-owned subsidiaries of Southwest Gas Holdings. These errors were determined to be not material to any previously issued Southwest Gas financial statements. However, Southwest Gas revised the historical financial statements due to the magnitude of the cumulative effect of the prior year errors. Southwest Gas also revised the historical financial statements to correct other previously identified immaterial errors.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correction of the errors on the Condensed Consolidated Financial Statements are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March 31, 2025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As Revised</w:t>
            </w: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1,202,052</w:t>
            </w:r>
          </w:p>
        </w:tc>
      </w:tr>
      <w:tr>
        <w:trPr>
          <w:trHeight w:val="21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3,380,149</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capitalization</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6,885,501</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894,709</w:t>
            </w:r>
          </w:p>
        </w:tc>
      </w:tr>
      <w:tr>
        <w:trPr>
          <w:trHeight w:val="21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2,061,958</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9,679,467</w:t>
            </w:r>
          </w:p>
        </w:tc>
      </w:tr>
    </w:tbl>
    <w:p>
      <w:pPr>
        <w:spacing w:after="0" w:line="200" w:lineRule="exact"/>
        <w:rPr>
          <w:sz w:val="20"/>
          <w:szCs w:val="20"/>
          <w:color w:val="auto"/>
        </w:rPr>
      </w:pP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6"/>
                <w:szCs w:val="16"/>
                <w:color w:val="auto"/>
              </w:rPr>
              <w:t>Three Months Ended March 31, 2025</w:t>
            </w: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As Revised</w:t>
            </w:r>
          </w:p>
        </w:tc>
      </w:tr>
      <w:tr>
        <w:trPr>
          <w:trHeight w:val="212"/>
        </w:trPr>
        <w:tc>
          <w:tcPr>
            <w:tcW w:w="7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748,516</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217,079</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181,750</w:t>
            </w:r>
          </w:p>
        </w:tc>
      </w:tr>
      <w:tr>
        <w:trPr>
          <w:trHeight w:val="21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39,155</w:t>
            </w:r>
          </w:p>
        </w:tc>
      </w:tr>
      <w:tr>
        <w:trPr>
          <w:trHeight w:val="21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142,595</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6"/>
                <w:szCs w:val="16"/>
                <w:color w:val="auto"/>
              </w:rPr>
              <w:t>Three Months Ended March 31, 2025</w:t>
            </w:r>
          </w:p>
        </w:tc>
      </w:tr>
      <w:tr>
        <w:trPr>
          <w:trHeight w:val="210"/>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As Revised</w:t>
            </w:r>
          </w:p>
        </w:tc>
      </w:tr>
      <w:tr>
        <w:trPr>
          <w:trHeight w:val="212"/>
        </w:trPr>
        <w:tc>
          <w:tcPr>
            <w:tcW w:w="7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142,863</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5"/>
          </w:tcPr>
          <w:p>
            <w:pPr>
              <w:jc w:val="right"/>
              <w:ind w:right="679"/>
              <w:spacing w:after="0"/>
              <w:rPr>
                <w:sz w:val="20"/>
                <w:szCs w:val="20"/>
                <w:color w:val="auto"/>
              </w:rPr>
            </w:pPr>
            <w:r>
              <w:rPr>
                <w:rFonts w:ascii="Times New Roman" w:cs="Times New Roman" w:eastAsia="Times New Roman" w:hAnsi="Times New Roman"/>
                <w:sz w:val="16"/>
                <w:szCs w:val="16"/>
                <w:color w:val="auto"/>
              </w:rPr>
              <w:t>Three Month Ended March 31, 2025</w:t>
            </w:r>
          </w:p>
        </w:tc>
      </w:tr>
      <w:tr>
        <w:trPr>
          <w:trHeight w:val="210"/>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As Reported</w:t>
            </w:r>
          </w:p>
        </w:tc>
        <w:tc>
          <w:tcPr>
            <w:tcW w:w="2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As Revised</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142,942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37,928</w:t>
            </w:r>
          </w:p>
        </w:tc>
        <w:tc>
          <w:tcPr>
            <w:tcW w:w="2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40,375</w:t>
            </w: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(13,217)</w:t>
            </w:r>
          </w:p>
        </w:tc>
      </w:tr>
      <w:tr>
        <w:trPr>
          <w:trHeight w:val="219"/>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53,865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1,997</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55,862</w:t>
            </w:r>
          </w:p>
        </w:tc>
      </w:tr>
      <w:tr>
        <w:trPr>
          <w:trHeight w:val="213"/>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(46,688)</w:t>
            </w:r>
          </w:p>
        </w:tc>
      </w:tr>
      <w:tr>
        <w:trPr>
          <w:trHeight w:val="21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285,832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285,832</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SOUTHWEST GAS CORPORATION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CONDENSED CONSOLIDATED STATEMENTS OF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As Revised</w:t>
            </w:r>
          </w:p>
        </w:tc>
      </w:tr>
      <w:tr>
        <w:trPr>
          <w:trHeight w:val="213"/>
        </w:trPr>
        <w:tc>
          <w:tcPr>
            <w:tcW w:w="7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for the three months ended March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March 31, 2025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1,202,052</w:t>
            </w: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 March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3,380,149</w:t>
            </w:r>
          </w:p>
        </w:tc>
      </w:tr>
    </w:tbl>
    <w:p>
      <w:pPr>
        <w:spacing w:after="0" w:line="200" w:lineRule="exact"/>
        <w:rPr>
          <w:sz w:val="20"/>
          <w:szCs w:val="20"/>
          <w:color w:val="auto"/>
        </w:rPr>
      </w:pP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Holdings is a holding company that owns all of the shares of common stock of Southwest Gas. Until the deconsolidation of Centuri in August 2025, the Company’s businesses were managed within two separate reportable segments, our Natural Gas Distribution segment (Southwest Gas) and our Utility Infrastructure Services segment (Centuri). After the deconsolidation of Centuri in August 2025, our business is solely comprised of our Natural Gas Distribution segment.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serving portions of Nevada and California. Southwest Gas makes investments in infrastructure to support customer demand associated with population growth and economic development activity, and the safe and reliable operation of its system through adherence to pipeline integrity management programs.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March 31, 2026, Southwest Gas had approximately 2,287,000 residential, commercial, industrial, and other natural gas customers, of which 1,227,000 customers were located in Arizona, 852,000 in Nevada, and 208,000 in California. Residential and small commercial customers represented over 99% of the total customer base. During the twelve months ended March 31, 2026, approximately 53% of operating margin (Regulated operations revenues less the net cost of gas sold) was earned in Arizona, approximately 35% in Nevada, and approximately 12% in California. During this same period, Southwest Gas earned approximately 85% of its operating margin from residential and small commercial customers, approximately 4% from other sales customers, and approximately 11% from transportation customers. These patterns are expected to remain materially consistent for the foreseeable future subject to the ultimate outcome of the Great Basin expansion project. Refer to </w:t>
      </w:r>
      <w:r>
        <w:rPr>
          <w:rFonts w:ascii="Times New Roman" w:cs="Times New Roman" w:eastAsia="Times New Roman" w:hAnsi="Times New Roman"/>
          <w:sz w:val="18"/>
          <w:szCs w:val="18"/>
          <w:i w:val="1"/>
          <w:iCs w:val="1"/>
          <w:color w:val="auto"/>
        </w:rPr>
        <w:t>Potential 2028 Great Basin Expansion Project</w:t>
      </w:r>
      <w:r>
        <w:rPr>
          <w:rFonts w:ascii="Times New Roman" w:cs="Times New Roman" w:eastAsia="Times New Roman" w:hAnsi="Times New Roman"/>
          <w:sz w:val="18"/>
          <w:szCs w:val="18"/>
          <w:color w:val="auto"/>
        </w:rPr>
        <w:t xml:space="preserve"> discussion below</w:t>
      </w:r>
      <w:r>
        <w:rPr>
          <w:rFonts w:ascii="Times New Roman" w:cs="Times New Roman" w:eastAsia="Times New Roman" w:hAnsi="Times New Roman"/>
          <w:sz w:val="18"/>
          <w:szCs w:val="18"/>
          <w:i w:val="1"/>
          <w:iCs w:val="1"/>
          <w:color w:val="auto"/>
        </w:rPr>
        <w: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generally the timing and amount of updated rates (to better align with Southwest Gas’ cost of service and capital investments, including impacts of infrastructure trackers) and customer growth. Public utility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MD&amp;A, for details of various rate proceedings.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revenues and cost of gas sold can change depending on natural gas cost included in customer rates. These changes, however, do not directly affect the company’s profits, as regulatory commissions in the states in which Southwest Gas operates have set up mechanisms that allow Southwest Gas to adjust customer rates to reflect fluctuations in natural gas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If the actual cost of gas differs from what is recovered through customer rates, the difference is recorded as a deferred amount.</w:t>
      </w:r>
    </w:p>
    <w:p>
      <w:pPr>
        <w:spacing w:after="0" w:line="117"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Southwest Gas has under-recovered costs, it records a regulatory asset on the Condensed Consolidated Balance Sheets as deferred purchase gas costs and interest income on the Condensed Consolidated Statements of Income within the Other income (deductions) line item.</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Southwest Gas has over-recovered costs, it records a regulatory liability on the Condensed Consolidated Balance Sheets as deferred purchased gas costs and interest expense on the Consolidated Statements of Income within the Net interest deductions line item.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These deferred amounts are either refunded to or recovered from customers during periods approved by the regulatory commissions. The rates are designed to be refunded or collected over a 12-month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 Gas’ service territories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Our business may be impacted by economic conditions that impact businesses generally, such as inflationary impacts on goods and services consumed in the business, rising or sustained high interest rates, labor markets and costs (including in regard to contracted or professional services), and the availability of those resources.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Company’s Annual Report on Form 10-K for the fiscal year ended December 31, 2025, in addition to the Risk Factors included in these documents as may be updated from time to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 Gas’ operations and are covered in greater detail in later sections of this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Period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Three Months</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84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6"/>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administrative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 attributable to Southwest Gas Holdings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72,441</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72,012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784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20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5640" w:type="dxa"/>
            <w:vAlign w:val="bottom"/>
            <w:tcBorders>
              <w:top w:val="single" w:sz="8" w:color="CCEEFF"/>
            </w:tcBorders>
            <w:gridSpan w:val="2"/>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 - basic</w:t>
            </w: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auto"/>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Natural Gas Distribution Segment</w:t>
            </w:r>
          </w:p>
        </w:tc>
        <w:tc>
          <w:tcPr>
            <w:tcW w:w="5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6"/>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CCEEFF"/>
            </w:tcBorders>
            <w:shd w:val="clear" w:color="auto" w:fill="CCEEFF"/>
          </w:tcPr>
          <w:p>
            <w:pPr>
              <w:spacing w:after="0"/>
              <w:rPr>
                <w:sz w:val="10"/>
                <w:szCs w:val="10"/>
                <w:color w:val="auto"/>
              </w:rPr>
            </w:pPr>
          </w:p>
        </w:tc>
        <w:tc>
          <w:tcPr>
            <w:tcW w:w="2000" w:type="dxa"/>
            <w:vAlign w:val="bottom"/>
            <w:tcBorders>
              <w:bottom w:val="single" w:sz="8" w:color="CCEEFF"/>
            </w:tcBorders>
            <w:gridSpan w:val="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Southwest Gas Corporation</w:t>
            </w:r>
          </w:p>
        </w:tc>
        <w:tc>
          <w:tcPr>
            <w:tcW w:w="140" w:type="dxa"/>
            <w:vAlign w:val="bottom"/>
            <w:tcBorders>
              <w:bottom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w w:val="93"/>
              </w:rPr>
              <w:t>(2)</w:t>
            </w:r>
          </w:p>
        </w:tc>
        <w:tc>
          <w:tcPr>
            <w:tcW w:w="5700" w:type="dxa"/>
            <w:vAlign w:val="bottom"/>
            <w:tcBorders>
              <w:bottom w:val="single" w:sz="8" w:color="CCEEFF"/>
            </w:tcBorders>
            <w:gridSpan w:val="3"/>
            <w:vMerge w:val="restart"/>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CCEEFF"/>
            </w:tcBorders>
            <w:shd w:val="clear" w:color="auto" w:fill="CCEEFF"/>
          </w:tcPr>
          <w:p>
            <w:pPr>
              <w:spacing w:after="0"/>
              <w:rPr>
                <w:sz w:val="5"/>
                <w:szCs w:val="5"/>
                <w:color w:val="auto"/>
              </w:rPr>
            </w:pPr>
          </w:p>
        </w:tc>
        <w:tc>
          <w:tcPr>
            <w:tcW w:w="2000" w:type="dxa"/>
            <w:vAlign w:val="bottom"/>
            <w:tcBorders>
              <w:bottom w:val="single" w:sz="8" w:color="auto"/>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5700" w:type="dxa"/>
            <w:vAlign w:val="bottom"/>
            <w:tcBorders>
              <w:bottom w:val="single" w:sz="8" w:color="CCEEFF"/>
            </w:tcBorders>
            <w:gridSpan w:val="3"/>
            <w:vMerge w:val="continue"/>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78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3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6"/>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0"/>
        <w:spacing w:after="0" w:line="225" w:lineRule="auto"/>
        <w:tabs>
          <w:tab w:leader="none" w:pos="356"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deconsolidation of Centuri, certain amounts in Corporate and administrative that relate to Centuri separation have been reclassified to discontinued operations for all periods presented as applicable.</w:t>
      </w:r>
    </w:p>
    <w:p>
      <w:pPr>
        <w:spacing w:after="0" w:line="6" w:lineRule="exact"/>
        <w:rPr>
          <w:rFonts w:ascii="Times New Roman" w:cs="Times New Roman" w:eastAsia="Times New Roman" w:hAnsi="Times New Roman"/>
          <w:sz w:val="21"/>
          <w:szCs w:val="21"/>
          <w:color w:val="auto"/>
          <w:vertAlign w:val="superscript"/>
        </w:rPr>
      </w:pPr>
    </w:p>
    <w:p>
      <w:pPr>
        <w:ind w:left="180"/>
        <w:spacing w:after="0" w:line="23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Historically, Southwest Gas Corporation’s operating results have corresponded to the operating results of the Natural Gas Distribution Segment. The amounts reported in the table above differ from Natural Gas Distribution Segment due to the revision described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1st Quarter 2026 overview and other recent developments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7" w:lineRule="exact"/>
        <w:rPr>
          <w:sz w:val="20"/>
          <w:szCs w:val="20"/>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first quarter of 2026 with approximately $484.8 million of cash on a consolidated basis and nearly $1.2 billion in available liquidity; the Company does not expect to issue equity in 2026.</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quarterly common stock dividend to $0.645, representing a 4% increase over the 2025 dividend rate.</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utility gross margin of $298.9 million and operating margin of $477.0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$186.3 million capital investment year-to-date.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 regulatory strategy: filed a general rate case requesting to increase revenues by approximately $101.0 million with rates anticipated to become effective April 2027 – the filing also requested formula rates with an Annual Rate Adjustment Mechanism.</w:t>
      </w:r>
    </w:p>
    <w:p>
      <w:pPr>
        <w:ind w:left="660" w:right="1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NV regulatory strategy: filed a general rate case requesting to increase revenues by approximately $71.3 million with rates anticipated to become effective October 2026.</w:t>
      </w:r>
    </w:p>
    <w:p>
      <w:pPr>
        <w:ind w:left="660" w:right="62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Basin completed an open season in April 2026 for available capacity for the 2028 expansion project. Prospective shippers submitted incremental bids totaling 2.3 billion cubic feet per day with requested in-service dates ranging from 2028-2035.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Historically, the Natural Gas Distribution segment operating results have corresponded to the operating results of Southwest Gas Corporation. The amounts reported in the table above differ from Southwest Gas Corporation for the three months ended March 31, 2025 period due to the revision described in </w:t>
      </w:r>
      <w:r>
        <w:rPr>
          <w:rFonts w:ascii="Times New Roman" w:cs="Times New Roman" w:eastAsia="Times New Roman" w:hAnsi="Times New Roman"/>
          <w:sz w:val="18"/>
          <w:szCs w:val="18"/>
          <w:b w:val="1"/>
          <w:bCs w:val="1"/>
          <w:color w:val="212529"/>
        </w:rPr>
        <w:t>Note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color w:val="212529"/>
        </w:rPr>
        <w:t>6 - Previously Issued Condensed Consolidated Financial Statement</w:t>
      </w:r>
      <w:r>
        <w:rPr>
          <w:rFonts w:ascii="Times New Roman" w:cs="Times New Roman" w:eastAsia="Times New Roman" w:hAnsi="Times New Roman"/>
          <w:sz w:val="18"/>
          <w:szCs w:val="18"/>
          <w:color w:val="212529"/>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Natural Gas Distribution Segment</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3"/>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gridSpan w:val="4"/>
          </w:tcPr>
          <w:p>
            <w:pPr>
              <w:jc w:val="right"/>
              <w:ind w:right="8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160" w:type="dxa"/>
            <w:vAlign w:val="bottom"/>
            <w:tcBorders>
              <w:bottom w:val="single" w:sz="8" w:color="auto"/>
            </w:tcBorders>
          </w:tcPr>
          <w:p>
            <w:pPr>
              <w:spacing w:after="0"/>
              <w:rPr>
                <w:sz w:val="20"/>
                <w:szCs w:val="20"/>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746,416</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284,579</w:t>
            </w:r>
          </w:p>
        </w:tc>
      </w:tr>
      <w:tr>
        <w:trPr>
          <w:trHeight w:val="22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461,837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93,690</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23,761</w:t>
            </w:r>
          </w:p>
        </w:tc>
      </w:tr>
      <w:tr>
        <w:trPr>
          <w:trHeight w:val="22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44,631</w:t>
            </w:r>
          </w:p>
        </w:tc>
      </w:tr>
      <w:tr>
        <w:trPr>
          <w:trHeight w:val="22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36,708</w:t>
            </w:r>
          </w:p>
        </w:tc>
      </w:tr>
      <w:tr>
        <w:trPr>
          <w:trHeight w:val="22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142,942</w:t>
            </w:r>
          </w:p>
        </w:tc>
      </w:tr>
      <w:tr>
        <w:trPr>
          <w:trHeight w:val="20"/>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decrease in net income of $5.2 million was primarily due to:</w:t>
      </w:r>
    </w:p>
    <w:p>
      <w:pPr>
        <w:spacing w:after="0" w:line="117"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higher Income tax expense due to pre-tax income differences, the amortization of excess accumulated deferred income taxes, and nondeductible executive compensation.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or 6%, higher Depreciation and amortization expense reflecting a $670.5 million, or 6%, increase in gas plant in service since the corresponding first quarter of 2025, in addition to $1.1 million in higher amortization related to regulatory account balances noted above. The increase in plant was attributable to pipeline capacity reinforcement work, franchise requirements, scheduled pipe replacement activities, and new infrastructure.</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lower Other income, which is net of other deductions, primarily driven by a $3.2 million decrease in interest income earned on money market accounts.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higher Operations and maintenance expense primarily attributable to higher insurance cost and related claims of $2.3 million, higher outside services of $1.3 million, and increases in incentive compensation costs of $1.1 million. These increases were partially offset by reductions in bad debt expense, internal gas used and lower leak survey and line locating expenses.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higher Taxes other than income taxes due primarily to increase in property taxes across all of Southwest Gas’ jurisdictions.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million higher Operating margin primarily driven by updated rates that better align with Southwest Gas’ cost of service and capital investments across Arizona and Nevada adding approximately $13.2 million of incremental margin and $3.1 million attributable to customer growth, which is reflective of 1.0% net customer growth during the twelve months ended March 31, 2026. For California, we recorded revenues based on 2025 authorized levels pending the general rate case final decision. Also contributing to the increase were $2.0 million attributable to nondecoupled billed margin across Arizona and Nevada and $1.1 million related to the combined impacts of increases in recovery/return, offset by a comparable increase in depreciation and amortization expense in regulatory account balances noted below. Partially offsetting the increase is $4.7 million attributable to the absence of recovery in the current period, as recovery under the Vintage Steel Pipeline Program was concluded during the first quarter of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Administrative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net income improved by $9.3 million compared to a net loss in the same period in 2025; the improvement was primarily due to:</w:t>
      </w:r>
    </w:p>
    <w:p>
      <w:pPr>
        <w:spacing w:after="0" w:line="54"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million lower Net interest deductions primarily driven by the repayment of the $550.0 million term loan in the Summer of 2025 as well as the decrease in the balance that was previously outstanding on the revolving credit facility.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higher Other income, which is net of other deductions, primarily driven by an increase in interest income earned on money market accounts.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million higher Income tax expense due to pre-tax income differences and changes to state net operating losses to reflect expected utilization.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decrease in net loss of $20.4 million reflects the absence of Centuri’s operating results in the current period following the completion of its disposition, compared to a full quarter of Centuri’s results included in the prior year period.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Southwest Gas Corporation</w:t>
            </w:r>
          </w:p>
        </w:tc>
        <w:tc>
          <w:tcPr>
            <w:tcW w:w="3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748,516</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3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284,579</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93,690</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3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45,680</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44,631</w:t>
            </w:r>
          </w:p>
        </w:tc>
        <w:tc>
          <w:tcPr>
            <w:tcW w:w="0" w:type="dxa"/>
            <w:vAlign w:val="bottom"/>
          </w:tcPr>
          <w:p>
            <w:pPr>
              <w:spacing w:after="0"/>
              <w:rPr>
                <w:sz w:val="1"/>
                <w:szCs w:val="1"/>
                <w:color w:val="auto"/>
              </w:rPr>
            </w:pPr>
          </w:p>
        </w:tc>
      </w:tr>
      <w:tr>
        <w:trPr>
          <w:trHeight w:val="22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0" w:type="dxa"/>
            <w:vAlign w:val="bottom"/>
          </w:tcPr>
          <w:p>
            <w:pPr>
              <w:spacing w:after="0"/>
              <w:rPr>
                <w:sz w:val="1"/>
                <w:szCs w:val="1"/>
                <w:color w:val="auto"/>
              </w:rPr>
            </w:pPr>
          </w:p>
        </w:tc>
      </w:tr>
      <w:tr>
        <w:trPr>
          <w:trHeight w:val="22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36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2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4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9A9A9A"/>
            </w:tcBorders>
          </w:tcPr>
          <w:p>
            <w:pPr>
              <w:spacing w:after="0"/>
              <w:rPr>
                <w:sz w:val="18"/>
                <w:szCs w:val="18"/>
                <w:color w:val="auto"/>
              </w:rPr>
            </w:pPr>
          </w:p>
        </w:tc>
        <w:tc>
          <w:tcPr>
            <w:tcW w:w="36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decrease in net income of $4.8 million consistent with the Natural Gas Distribution except for:</w:t>
      </w:r>
    </w:p>
    <w:p>
      <w:pPr>
        <w:spacing w:after="0" w:line="54" w:lineRule="exact"/>
        <w:rPr>
          <w:sz w:val="20"/>
          <w:szCs w:val="20"/>
          <w:color w:val="auto"/>
        </w:rPr>
      </w:pPr>
    </w:p>
    <w:p>
      <w:pPr>
        <w:jc w:val="both"/>
        <w:ind w:left="660" w:hanging="328"/>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$13.0 million higher Operating margin consistent with the Natural Gas Distribution segment explanation combined with a decrease in operating margin of $2.1 million due to revisions. See </w:t>
      </w:r>
      <w:r>
        <w:rPr>
          <w:rFonts w:ascii="Times New Roman" w:cs="Times New Roman" w:eastAsia="Times New Roman" w:hAnsi="Times New Roman"/>
          <w:sz w:val="18"/>
          <w:szCs w:val="18"/>
          <w:b w:val="1"/>
          <w:bCs w:val="1"/>
          <w:color w:val="auto"/>
        </w:rPr>
        <w:t>Note 6 - Previously Issued Condensed Consolidated Financial Statement</w:t>
      </w:r>
      <w:r>
        <w:rPr>
          <w:rFonts w:ascii="Times New Roman" w:cs="Times New Roman" w:eastAsia="Times New Roman" w:hAnsi="Times New Roman"/>
          <w:sz w:val="18"/>
          <w:szCs w:val="18"/>
          <w:color w:val="auto"/>
        </w:rPr>
        <w:t xml:space="preserve"> for additional information.</w:t>
      </w:r>
    </w:p>
    <w:p>
      <w:pPr>
        <w:spacing w:after="0" w:line="1" w:lineRule="exact"/>
        <w:rPr>
          <w:rFonts w:ascii="Times New Roman" w:cs="Times New Roman" w:eastAsia="Times New Roman" w:hAnsi="Times New Roman"/>
          <w:sz w:val="18"/>
          <w:szCs w:val="18"/>
          <w:color w:val="auto"/>
        </w:rPr>
      </w:pPr>
    </w:p>
    <w:p>
      <w:pPr>
        <w:ind w:left="660" w:right="320" w:hanging="328"/>
        <w:spacing w:after="0" w:line="265"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$4.0 million higher Income tax expense consistent with the Natural Gas Distribution segment explanation combined with a decrease in income taxes of $2.4 million related to the prior year adjustments as described in </w:t>
      </w:r>
      <w:r>
        <w:rPr>
          <w:rFonts w:ascii="Times New Roman" w:cs="Times New Roman" w:eastAsia="Times New Roman" w:hAnsi="Times New Roman"/>
          <w:sz w:val="17"/>
          <w:szCs w:val="17"/>
          <w:b w:val="1"/>
          <w:bCs w:val="1"/>
          <w:color w:val="auto"/>
        </w:rPr>
        <w:t>Note 6 - Previously Issued Condensed Consolidated Financial</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Statement.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Regulatory Proceedings</w:t>
      </w:r>
    </w:p>
    <w:p>
      <w:pPr>
        <w:spacing w:after="0" w:line="12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Southwest Gas operates in a regulated environment across Arizona, Nevada, and California subject to the regulation of the ACC, the PUCN, and the CPUC, and through interstate pipeline operations at two of Southwest Gas’ subsidiaries that are subject to regulation by the FERC. Regulatory proceedings timely generally endeavor to allow for the timely recovery of infrastructure investments, reducing regulatory lag, and managing the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flow impacts of natural gas price volatility. While mechanisms vary by jurisdiction, they are generally designed to stabilize earnings and primarily affect the timing of cash flows,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returns.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Arizona Overview. </w:t>
      </w:r>
      <w:r>
        <w:rPr>
          <w:rFonts w:ascii="Times New Roman" w:cs="Times New Roman" w:eastAsia="Times New Roman" w:hAnsi="Times New Roman"/>
          <w:sz w:val="18"/>
          <w:szCs w:val="18"/>
          <w:color w:val="auto"/>
        </w:rPr>
        <w:t>Arizona is Southwest Gas’ largest contributor to operating margin. Regulatory frameworks in the state emphasize decoupled rate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targeted mechanisms that support infrastructure investment while reducing earnings volatility.</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On February 27, 2026, Southwest Gas filed a general rate case seeking an increase of approximately $101.0 million, or 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incremental annual revenues, to reflect infrastructure investments and operating costs through November 30, 2025, with a requested twelve- month post-test year adjustment for non-revenue producing plant. The filing requests a return on common equity of 10.25% and a fair value increment of 0.20% based on an actual equity layer of 50.08% and maintains Arizona’s existing decoupled rate design and existing basic service charges.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application also proposes a formula-based RAM, which is an annual adjustment intended to reduce regulatory lag by more closely aligning customer rates with authorized returns between rate cases. The proposed RAM contemplates an approved formula to adjust customer rates based on Southwest Gas’ earned return on common equity compared with authorized return on common equity, subject to a Deadband, where rates would not be adjusted if the earned return on common equity falls outside the prescribed return on common equity deadband. Approval of the RAM would replace certain existing regulatory tracker mechanisms, including the TEAM and the SIM. New rates from this filing are expected to become effective by April 2027, subject to regulatory approval.</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rates are the results of Southwest Gas’ 2024 Arizona rate case application filed in February 2024. The ACC’s final decision was approved and implemented in March 2025, authorizing an overall annual rate increase of approximately $80.2 million and a return on common equity of 9.84% relative to a 48.5% equity ratio.</w:t>
      </w:r>
    </w:p>
    <w:p>
      <w:pPr>
        <w:spacing w:after="0" w:line="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Arizona Regulatory Mechanisms</w:t>
      </w:r>
      <w:r>
        <w:rPr>
          <w:rFonts w:ascii="Times New Roman" w:cs="Times New Roman" w:eastAsia="Times New Roman" w:hAnsi="Times New Roman"/>
          <w:sz w:val="18"/>
          <w:szCs w:val="18"/>
          <w:color w:val="auto"/>
        </w:rPr>
        <w:t>. Southwest Gas uses several regulatory mechanisms in Arizona to address timing differences between costs incurred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through base rates:</w:t>
      </w:r>
    </w:p>
    <w:p>
      <w:pPr>
        <w:spacing w:after="0" w:line="52"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 supports recovery of eligible non-revenue-producing infrastructure investments related to safety, code compliance, and system integrity. Recovery through the SIM is subject to an annual investment cap of $50 million, with surcharge updates occurring annually. The first SIM surcharge application was filed March 2026, with rates effective April 1, 2026, subject to refund.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DCA is Arizona’s margin decoupling mechanism and removes the direct relationship between volumes sold and revenue earned. Annual DCA filings return or recover over- or under-collected authorized margins. In August 2025, the ACC approved the most recent DCA application, as filed, to recover the under-collected balance as of March 31, 2025, of approximately $40.7 million, which is expected to be recovered over 12 months from the time rates become effective. The Company’s most recent filing was made in April 2026, requesting recovery of the under-collected balance of $107.5 million existing as of March 31, 2026, over a 15 month period. In addition, the Company has requested seasonally adjusted recovery rates, with a higher rate applicable in the summer season of May through October and a lower rate applicable in the winter season of November through April. The Company’s request will be considered by the Commission as soon as practicable.</w:t>
      </w:r>
    </w:p>
    <w:p>
      <w:pPr>
        <w:spacing w:after="0" w:line="7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Southwest Gas filed a requested modification to the PGA mechanism to increase the GCBA adjustment to allow for a greater credit rate to be implemented than otherwise allowed under existing framework to</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facilitate the more timely return of the existing over-collected balance. Typical adjustments authorized by previous decisions limit the increase in the GCBA rate to $0.01 per month. The ACC approved Southwest Gas’ request to implement a credit rate of $0.08138 per therm effective the first quarter 2025 and terminates when the GCBA balance is reduced to less than $10.0 million. Additionally, Southwest filed a new request in April 2026 for Commission consideration to increase the applicable Deadband within which the Company may adjusted the Gas Cost Balancing Account rate from the currently authorized 10 cents per therm to a proposed 20 cents per therm with a requested effective date of August 2026.</w:t>
      </w:r>
    </w:p>
    <w:p>
      <w:pPr>
        <w:spacing w:after="0" w:line="75" w:lineRule="exact"/>
        <w:rPr>
          <w:sz w:val="20"/>
          <w:szCs w:val="20"/>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TEAM allows for rate adjustments related to changes in income tax-related revenue requirements resulting from federal or state tax legislation and returns/recovers the revenue requirement impact of changes in amortization of EADIT, including that which resulted from the 2017 Tax Cuts and Jobs Act, between general rate cases. The current surcharge rate designed to recover approximately $5.2 million resulting from changes related to the amortization of EADIT was approved and became effective June 1, 2025.</w:t>
      </w:r>
    </w:p>
    <w:p>
      <w:pPr>
        <w:spacing w:after="0" w:line="71"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Southwest Gas filed its most recent TEAM rate application seeking authority to recover $0.7 million, which includes the current-year TEAM adjustment of approximately $7.9 million, primarily offset by the impact of Southwest Gas’ election of the natural gas safe harbor tax method of accounting for determining whether certain natural gas repair and maintenance expenditures are capitalized or expensed for income tax purposes. As a result of this accounting method change, approximately $27.1 million of EADIT associated with historic tax repairs shifts from protected treatment amortized under the Average Rate Assumption Method to unprotected treatment. Southwest Gas proposed the amortization of the $27.1 million in unprotected EADIT over a five-year period, consistent with the approximate remaining amortization period of the unprotected EADIT established in Southwest Gas’ 2019 general rate case. The application was approved in February 2026, as filed, with a rate effective date of June 1, 2026.</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COYL program was discontinued in Southwest Gas’ most recent Arizona rate case; however, an application was filed in June 2025 requesting recovery of the associated outstanding revenue requirement of approximately $5.2 million for work completed through March 2025. Recovery of the outstanding COYL revenue requirement over three years was approved by the ACC as requested in September 2025.</w:t>
      </w:r>
    </w:p>
    <w:p>
      <w:pPr>
        <w:spacing w:after="0" w:line="16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Collectively, these mechanisms primarily affect the timing of cash flows and are intended to reduce earnings volatility rather than impact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returns.</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Arizona Affiliate Rules Waiver</w:t>
      </w:r>
      <w:r>
        <w:rPr>
          <w:rFonts w:ascii="Times New Roman" w:cs="Times New Roman" w:eastAsia="Times New Roman" w:hAnsi="Times New Roman"/>
          <w:sz w:val="18"/>
          <w:szCs w:val="18"/>
          <w:color w:val="auto"/>
        </w:rPr>
        <w:t>. In February 2026, Southwest Gas filed an application with the ACC seeking a waiver of certain affiliate rules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Southwest Gas Holdings and Southwest Gas Corporation to issue financing to Great Basin for the 2028 Expansion Project. On April 8, 2026, the ACC approved the limited waiver to allow for funding of $1.7 billion.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Nevada Overview</w:t>
      </w:r>
      <w:r>
        <w:rPr>
          <w:rFonts w:ascii="Times New Roman" w:cs="Times New Roman" w:eastAsia="Times New Roman" w:hAnsi="Times New Roman"/>
          <w:sz w:val="18"/>
          <w:szCs w:val="18"/>
          <w:color w:val="auto"/>
        </w:rPr>
        <w:t>. In Nevada, Southwest Gas’ next largest contributor to operating margin, regulatory frameworks in the state include decoupled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and targeted mechanisms that support infrastructure investment while reducing earnings volatility.</w:t>
      </w:r>
    </w:p>
    <w:p>
      <w:pPr>
        <w:spacing w:after="0" w:line="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Nevada General Rate Case. </w:t>
      </w:r>
      <w:r>
        <w:rPr>
          <w:rFonts w:ascii="Times New Roman" w:cs="Times New Roman" w:eastAsia="Times New Roman" w:hAnsi="Times New Roman"/>
          <w:sz w:val="18"/>
          <w:szCs w:val="18"/>
          <w:color w:val="auto"/>
        </w:rPr>
        <w:t>On March 18, 2026, Southwest Gas filed a general rate case with the PUCN, seeking an increase of approximately $71.3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10.8% of incremental annual revenues to reflect infrastructure investments and operating costs through November 30, 2025 and a six-month certification period ending May 31, 2026 to update plant in service and adjust for known changes in labor and pension costs. The filing requests a 10.0% return on common equity and an actual equity layer of 50.05% at the end of the certification period and proposes to maintain Nevada’s existing decoupled rate design and basic service charges along with the continuation of the regulatory accounting treatment approved in 2025 to track the actual costs incurred for line location expenses to the level of expense to be established in the general rate case. New rates are expected to become effective in October 2026, subject to regulatory approval.</w:t>
      </w:r>
    </w:p>
    <w:p>
      <w:pPr>
        <w:spacing w:after="0" w:line="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Existing rates are the results of Southwest Gas’ 2023 Nevada rate case application filed in September 2023 and updated with a certification filing primarily for plant placed in service, and incremental annual leak survey costs, through November 2023. Rates became effective in April 2024, authorizing an overall annual settled rate increase of approximately $59.1 million and a return on common equity of 9.5% relative to a hypothetical 50.0% equity ratio. Included in the settled items were a continuation of full revenue decoupling; authority to continue tracking incremental annual leak survey costs in a regulatory asset; and refreshed depreciation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Purchased Gas and Cost Recovery Mechanisms. </w:t>
      </w:r>
      <w:r>
        <w:rPr>
          <w:rFonts w:ascii="Times New Roman" w:cs="Times New Roman" w:eastAsia="Times New Roman" w:hAnsi="Times New Roman"/>
          <w:sz w:val="18"/>
          <w:szCs w:val="18"/>
          <w:color w:val="auto"/>
        </w:rPr>
        <w:t>Southwest Gas uses several regulatory mechanisms in Nevada to address timing differences between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recovery through base rates:</w:t>
      </w:r>
    </w:p>
    <w:p>
      <w:pPr>
        <w:spacing w:after="0" w:line="39" w:lineRule="exact"/>
        <w:rPr>
          <w:sz w:val="20"/>
          <w:szCs w:val="20"/>
          <w:color w:val="auto"/>
        </w:rPr>
      </w:pPr>
    </w:p>
    <w:p>
      <w:pPr>
        <w:jc w:val="both"/>
        <w:ind w:left="660" w:hanging="328"/>
        <w:spacing w:after="0" w:line="24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 serves as Nevada’s margin decoupling mechanism and is updated through periodic filings. Rates for the GRA and other regulatory mechanisms relating to the most recently approved filing became effective July 1, 2025. Southwest Gas filed its 2025 ARA filing in November 2025 requesting to adjust the GRA rates to recover the approximate $28.2 million balance as of September 30, 2025. In April 2026, a settlement was filed recommending approval of the application as filed, with rates expected to be effective July 1, 2026.</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DEAA currently facilitates the return of previously over-collected purchased gas costs to customers and would serve as the mechanism to collect under-collected purchased gas costs from customers if and when that situation was to occur. The implementation of a DEAA credit of $0.20000 per therm applicable to southern Nevada customers and a credit of $0.25000 per therm applicable to northern Nevada customers became effective July 1, 2025. Subsequent quarterly adjustments, including those in October 2025, January 2026, and April 2026, have been calculated consistent with the statutory cap range of 2.5 cents per quarter, resulting in an increased credit rate of $0.27500 in southern Nevada and $0.32500 in northern Nevada, as of April 1, 2026. The over-collected PGA balance that existed at December 31, 2025 has been reduced to an over-collected balance of approximately $169.1 million and $30.8 million in southern and northern Nevada, respectively, at March 31, 2026 from previous levels. The most recent modification of the DEAA is expected to impact near-term liquidity at Southwest Gas when compared to earlier projections over 2025-2026 while modestly reducing interest expense on a net basis.</w:t>
      </w:r>
    </w:p>
    <w:p>
      <w:pPr>
        <w:spacing w:after="0" w:line="7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Line Locate Activity Expenses Application</w:t>
      </w:r>
      <w:r>
        <w:rPr>
          <w:rFonts w:ascii="Times New Roman" w:cs="Times New Roman" w:eastAsia="Times New Roman" w:hAnsi="Times New Roman"/>
          <w:sz w:val="18"/>
          <w:szCs w:val="18"/>
          <w:color w:val="auto"/>
        </w:rPr>
        <w:t>. In January 2025, Southwest Gas filed an application with the PUCN for authority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accounting treatment for line locate activity expenses, allowing Southwest Gas to track the actual level of line locate costs in operation and maintenance expense and to record, in a regulatory asset or liability account, the difference between amounts incurred and the level established in the most recently concluded general rate case. In July 2025, the PUCN approved regulatory accounting treatment beginning January 1, 2025. The proposal did not include carrying charges on the regulatory account balance in order to focus solely on stemming from the financial attrition experienced in between rate cases related to this work. Amounts deferred in the regulatory assets are included for consideration in the recently filed general rate case, and continuation of the regulatory accounting treatment is requested.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mechanisms primarily affect the timing of cash flows and are intended to reduce earnings volatility rather than impact long-term returns.</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Resource Plan</w:t>
      </w:r>
      <w:r>
        <w:rPr>
          <w:rFonts w:ascii="Times New Roman" w:cs="Times New Roman" w:eastAsia="Times New Roman" w:hAnsi="Times New Roman"/>
          <w:sz w:val="18"/>
          <w:szCs w:val="18"/>
          <w:color w:val="auto"/>
        </w:rPr>
        <w:t>. In September 2025, Southwest Gas filed an application seeking approval of its first triennial resource plan, required by October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SB 281 (2023). The application seeks approval of certain significant operational or capital requirements, as defined by SB 281, during the three-year action plan period, including two single extension facilities projects in southern Nevada designed to serve more than 2,000 customers, safety-related and system integrity management investments in southern and northern Nevada, and a proposal to commence a vintage 1984/1985 pipe replacement program in southern Nevada. The estimated capital investment associated with these programs is approximately $208.2 million over the three-year action plan period. The application also seeks approval of an approximate $4.8 million investment over the action plan period in two new safety-related programs (the natural gas alarm pilot program and the meter protection program), including a request to establish regulatory accounting treatment for each program. The natural gas alarm pilot program proposes the purchase and installation of approximately 10,000 natural gas alarms in high occupancy facilities across Southwest Gas’ southern and northern Nevada service territories. The meter protection program proposes the purchase and installation of meter snow shelters to enhance the protection of existing meters in heavy snow load areas in Southwest Gas’ northern Nevada service territory around Lake Tahoe. Southwest Gas is seeking approval to extend the currently authorized COYL replacement program, including the annual statewide capital investment amount of $5.0 million, and associated regulatory accounting treatment beyond the current program sunset date of July 30, 2027, through the end of 2028. Also included in the application is a request for approval of Southwest Gas’ customer demand forecasting methodology for the applicable three-year action plan period. With respect to gas resources, Southwest Gas requested modification of its currently authorized price cap of $14/dekatherm to $25/dekatherm for RNG purchases to better align with evolving RNG market conditions and to extend its current contract term length and purchasing authority for RNG beyond the currently approved date of December 31, 2029.</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application also requests authority to purchase responsibly sourced gas, in the form of carbon capture and storage-enabled natural gas, for incorporation into Southwest Gas’ gas supply portfolio to meet up to 5% of its normal weather demand in northern and southern Nevada. Southwest Gas is also seeking approval of a demand-side management plan and proposed activities and programs, with a total statewide budget of $9.8 million over the three-year action plan period, to promote energy efficiency and conservation. Southwest Gas received approval of its triennial resource plan in April 2026.</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California Overview</w:t>
      </w:r>
      <w:r>
        <w:rPr>
          <w:rFonts w:ascii="Times New Roman" w:cs="Times New Roman" w:eastAsia="Times New Roman" w:hAnsi="Times New Roman"/>
          <w:sz w:val="18"/>
          <w:szCs w:val="18"/>
          <w:color w:val="auto"/>
        </w:rPr>
        <w:t>. California contributes approximately 12% to Southwest Gas’ operating margin. Regulatory frameworks in the state include decoupled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design and a future test year rate structure that support infrastructure investment while reducing earnings volatility.</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Gas filed its most recent general rate case in September 2024 seeking updated rates beginning in January 2026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infrastructure investments and updated operating costs. An all-party partial settlement was filed in September 2025 agreeing to a revenue increase of $39.5 million before consideration of the litigated capital structure and cost of capital issues. Southwest Gas anticipates a final decision and rates effective in the second quarter of 2026, subject to the timing of the issuance of the final decision. The CPUC granted Southwest Gas’ motion seeking authority to establish a general rate case memorandum account effective January 1, 2026, through the effective date of the CPUC’s final decision allowing Southwest Gas to track changes in the revenue requirement beginning January 1, 2026.</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Financing Application</w:t>
      </w:r>
      <w:r>
        <w:rPr>
          <w:rFonts w:ascii="Times New Roman" w:cs="Times New Roman" w:eastAsia="Times New Roman" w:hAnsi="Times New Roman"/>
          <w:sz w:val="18"/>
          <w:szCs w:val="18"/>
          <w:color w:val="auto"/>
        </w:rPr>
        <w:t>. Southwest Gas filed an application with the CPUC in February 2026 seeking incremental financing authority to issue or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debt securities in an amount not to exceed approximately $1.15 billion, and the application of such proceeds through the five-year period ending December 31, 2030, to facilitate funding for the potential 2028 Great Basin Expansion Project. The incremental increase will bring the total authorized debt to $2.1 billion. The CPUC held a prehearing conference on May 4, 2026. The Company anticipates the issuance of a decision by the end of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Great Basin Overview. </w:t>
      </w:r>
      <w:r>
        <w:rPr>
          <w:rFonts w:ascii="Times New Roman" w:cs="Times New Roman" w:eastAsia="Times New Roman" w:hAnsi="Times New Roman"/>
          <w:sz w:val="18"/>
          <w:szCs w:val="18"/>
          <w:color w:val="auto"/>
        </w:rPr>
        <w:t>Great Basin, a wholly owned subsidiary of Southwest Gas, is regulated by the FERC. A general rate case settlement approved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provided an increase of $9.6 million, reflecting an approved increase in rate base to approximately $191.0 million, a 41.0% increase over the amount previously authorized. Rates became effective in April 2025, reflecting a calculated 9.76% pre-tax rate of return, compared with the requested return on common equity of 11.95% relative to a 50.0% equity ratio.</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Potential 2028 Great Basin Expansion Project</w:t>
      </w:r>
      <w:r>
        <w:rPr>
          <w:rFonts w:ascii="Times New Roman" w:cs="Times New Roman" w:eastAsia="Times New Roman" w:hAnsi="Times New Roman"/>
          <w:sz w:val="18"/>
          <w:szCs w:val="18"/>
          <w:color w:val="auto"/>
        </w:rPr>
        <w:t>. In response to inquiries related to available capacity and changing market needs, Great Basin posted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Binding Open Season for a 2028 system expansion. The Binding Open Season, initially scheduled from January 28, 2025, through April 30, 2025, to determine the level of interest of existing and potential shippers for new or additional firm transportation service, was extended through June 2025 to allow for consideration of alternative in-service date requests as part of the bids and resulted in a potential incremental capacity of up to ~1.76 billion cubic feet of demand per day. To accommodate continued interest following the Open Seasons held in 2025, a second supplemental open season launched on November 11, 2025, to provide potential shippers additional opportunity to submit binding requests, refine capacity needs, consider alternative in-service dates, and evaluate the final scope of the expansion project to support energy demand growth across northern Nevada. In December 2025, precedent agreements were executed with shippers to accommodate capacity requests totaling approximately 800 million cubic feet per day. Subject to approval from FERC to construct and operate the system expansion, Great Basin estimates a potential capital investment of approximately $1.7 billion in the next three years with an expected in-service date of late 2028.</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Binding Open Season was issued on April 15, 2026 for available capacity for the 2028 expansion project following the evaluation of the system configuration and requirements necessary to meet the demand of the current Project Shippers. The open season offered approximately 0.3 billion cubic feet per day of remaining available capacity, in addition to approximately 0.6 billion cubic feet per day of currently contracted demand. The open season was significantly oversubscribed, with Great Basin receiving expressions of incremental interest totaling 2.5 billion cubic feet per day across multiple potential in-service periods, with requested in-service dates ranging from 2028 through2035. The expressions of interest included approximately 1.0 billion cubic feet per day targeting 2028-2029 and approximately 1.5 billion cubic feet per day requesting phased-in service between 2030-2035. All expressions of interest remain subject to the successful negotiation of binding precedent agreements and the posting of required surety. Future in-service dates beyond the 2028 expansion project would require separate project phases, independent regulatory approvals, and construction timelines.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 schedules in all of Southwest Gas’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March 31, 2026, over-collections in Southwest Gas’ service territories resulted in a liability of approximately $248.1 million on the Company’s and Southwest Gas’ Condensed Consolidated Balance Sheets. The over-collected balances in the table below</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reflect the impacts related to specific recovery rates under existing mechanisms, which have exceeded the cost of recent gas supply purchases by Southwest Gas.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Filings to change rates in accordance with PGA clauses are subject to audit by state regulatory commission staff. The operation of the mechanism in California is typically the most responsive to changes in gas supply costs, and maximum rate adjustments for the earlier build-up (positive or negative) apply to Nevada and Arizona; however, refer to the </w:t>
      </w:r>
      <w:r>
        <w:rPr>
          <w:rFonts w:ascii="Times New Roman" w:cs="Times New Roman" w:eastAsia="Times New Roman" w:hAnsi="Times New Roman"/>
          <w:sz w:val="18"/>
          <w:szCs w:val="18"/>
          <w:i w:val="1"/>
          <w:iCs w:val="1"/>
          <w:color w:val="auto"/>
        </w:rPr>
        <w:t>Arizona Regulatory Mechanisms</w:t>
      </w:r>
      <w:r>
        <w:rPr>
          <w:rFonts w:ascii="Times New Roman" w:cs="Times New Roman" w:eastAsia="Times New Roman" w:hAnsi="Times New Roman"/>
          <w:sz w:val="18"/>
          <w:szCs w:val="18"/>
          <w:color w:val="auto"/>
        </w:rPr>
        <w:t xml:space="preserve"> discussion above related to Arizona and the </w:t>
      </w:r>
      <w:r>
        <w:rPr>
          <w:rFonts w:ascii="Times New Roman" w:cs="Times New Roman" w:eastAsia="Times New Roman" w:hAnsi="Times New Roman"/>
          <w:sz w:val="18"/>
          <w:szCs w:val="18"/>
          <w:i w:val="1"/>
          <w:iCs w:val="1"/>
          <w:color w:val="auto"/>
        </w:rPr>
        <w:t>Purchased Gas and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Recovery Mechanisms </w:t>
      </w:r>
      <w:r>
        <w:rPr>
          <w:rFonts w:ascii="Times New Roman" w:cs="Times New Roman" w:eastAsia="Times New Roman" w:hAnsi="Times New Roman"/>
          <w:sz w:val="18"/>
          <w:szCs w:val="18"/>
          <w:color w:val="auto"/>
        </w:rPr>
        <w:t>in Nevada. PGA changes impact cash flows but have no direct impact on operating margin. However, gas cost deferrals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can impact comparisons between periods of individual consolidated income statement components. These include Regulated operations revenues, Net cost of gas sold, Net interest deductions, and Other income (deductions).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 Gas’ outstanding PGA, including accrued purchased gas costs,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80" w:type="dxa"/>
            <w:vAlign w:val="bottom"/>
          </w:tcPr>
          <w:p>
            <w:pPr>
              <w:spacing w:after="0"/>
              <w:rPr>
                <w:sz w:val="20"/>
                <w:szCs w:val="20"/>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31, 2026</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Pr>
          <w:p>
            <w:pPr>
              <w:spacing w:after="0"/>
              <w:rPr>
                <w:sz w:val="20"/>
                <w:szCs w:val="20"/>
                <w:color w:val="auto"/>
              </w:rPr>
            </w:pPr>
          </w:p>
        </w:tc>
        <w:tc>
          <w:tcPr>
            <w:tcW w:w="1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(255,040)</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23"/>
        </w:trPr>
        <w:tc>
          <w:tcPr>
            <w:tcW w:w="46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(300,748)</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construction expenditures and property additions). In recent years, Southwest Gas has undertaken substantial pipe replacement activities to fortify system integrity and reliability, including on an accelerated basis in association with certain gas infrastructure replacement programs. Southwest Gas Holdings and Southwest Gas’ capitalization strategy is to maintain an appropriate balance of equity and debt to preserve investment-grade credit ratings, which helps minimize interest costs. Investment-grade credit ratings have been maintained by Southwest Gas Holdings and Southwest Gas.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$129.1 million in the first three months of 2026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The decrease was primarily due to a $112.9 million reduction in cash flow from continuing operation, which reflects the transition from prior period when recovery rates resulted in collections that exceeded actual purchased gas costs. As a result, the current period includes the reimbursement of this excess recovery to customers. The remaining difference reflects the impacts of changes in other components of working capital overall. Discontinued operations operating cash flow also contributed to the decrease of $16.2 million. The decrease was mainly attributable to the absence of Centuri in the current period following the completion of its disposition.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used in investing activities increased $17.0 million in the first three months of 2026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increase was primarily from the increase in cash flows used in continuing operations of $40.2 million driven by the increased outflows for capital expenditures and property additions compared to 2025. Partially offsetting this increase was decrease in cash flow used in discontinued operations of $23.2 million that was mainly attributable to the absence of Centuri in the current period following the completion of its disposition.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used in financing activities decreased $11.7 million in the first three months of 2026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decrease in cash flow used in discontinued operations of $27.2 million was mainly attributable to the absence of Centuri in the current period following the completion of its disposition. Partially offsetting this impact was an increase of cash flow used in continuing operations of $15.5 million primarily driven by absence of borrowings related to the short-term portion of the credit facility in the current period as compared to the same period in 2025.</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Natural Gas Distribution segment is generally responsible for securing its own debt financing sources. However, Southwest Gas Holdings may raise funds through equity issuances or other external financing sources in support of our Natural Gas Distribution segment.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approximately $71.9 million in the first three months of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2025. The decrease primarily reflects the transition from prior period when recovery rates resulted in collections that exceeded actual purchased gas costs. As a result, the current period includes the reimbursement of this excess recovery to customers. Partially offsetting this decrease was increase in receivable from parent which resulted from the tax benefit extended to Southwest Gas Holdings, Inc. The remaining difference reflects the impacts of changes in other components of working capital overall.</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increased $39.0 million in the first three months of 2026 as compared to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attributable to increased outflows for capital expenditures by $45.6 million between periods. See also </w:t>
      </w:r>
      <w:r>
        <w:rPr>
          <w:rFonts w:ascii="Times New Roman" w:cs="Times New Roman" w:eastAsia="Times New Roman" w:hAnsi="Times New Roman"/>
          <w:sz w:val="18"/>
          <w:szCs w:val="18"/>
          <w:i w:val="1"/>
          <w:iCs w:val="1"/>
          <w:color w:val="auto"/>
        </w:rPr>
        <w:t>Natural Gas Distribution Segment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Expenditures, Debt Maturities, and Financing </w:t>
      </w:r>
      <w:r>
        <w:rPr>
          <w:rFonts w:ascii="Times New Roman" w:cs="Times New Roman" w:eastAsia="Times New Roman" w:hAnsi="Times New Roman"/>
          <w:sz w:val="18"/>
          <w:szCs w:val="18"/>
          <w:color w:val="auto"/>
        </w:rPr>
        <w:t>below.</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used in financing activities decreased $39.5 million in the first three months of 2026 as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primarily driven by the absence of dividends paid in the current period as compared to the same period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Capital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2026, capital expenditures for the Natural Gas Distribution segment were $186.3 million. These expenditures are associated with new construction and other general plant additions, in addition to the replacement of existing transmission and distribution pipeline facilities to fortify system integrity and reliability.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capital expenditures during the five-year period ending December 31, 2030 will be approximately $6.3 billion. Of this amount, approximately $1.3 billion is expected to be incurred during calendar year 2026. 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During that same five-year period, cash flows from operating activities of Southwest Gas are expected to provide approximately 60% of the funding for gas operations of Southwest Gas and total capital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maturities of long-term debt instruments, as well as growth levels in Southwest Gas’ service areas and earnings. External financings may include the issuance of debt securities, bank and other short-term borrowings, and other forms of financing. Southwest Gas has $75.0 million current portion of long-term debt maturing in August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projected capital requirements, the Company’s liquidity position and overall financial condition, the competitiveness of the dividend yield, economic conditions, equity dilution, and impacts on credit ratings. The Company has paid dividends on its common stock since 1956. In February 2026, the Board approved an increase to the quarterly dividend from $0.62 to $0.645 per share, effective with the June 2026 payment. No assurances can be provided on our future dividend payments and the actual declarations of dividend payments remain at the discretion of the Board.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future years include: Variability of natural gas prices, changes in ratemaking policies of regulatory commissions, regulatory lag, customer growth in the natural gas distribution segment, the ability to access and obtain capital from external sources, the level of interest rates, changes in income tax laws, pension funding requirements, inflation, the availability and cost of contract labor, supply chain constraints within the compression and steel pipe markets, and the level of earnings. Natural gas prices and related gas cost recovery rates, as well as plant investment and ratemaking activities, have historically had the most significant impact on liquidity, aside from the Company’s strategic undertakings, in the recent past, including acquisition and disposition activity.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March 31, 2026, the PGA</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balance was an over-collection of $248.1 million and Southwest Gas’cash balance of $60.3 million will be used to provide refunds to customers over future periods along with its credit facilities.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has a $300 million revolving credit facility that matures in August 2029. This facility is intended for short-term financing needs.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there were no borrowings outstanding under this facility.</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has a credit facility with a borrowing capacity of $400.0 million, which matures in August 2029. Southwest Gas designates $150.0 million of the facility for long-term borrowing needs and the remaining $250.0 million for working capital purposes. As of March 31, 2026, no borrowings were outstanding on the long-term portion of the credit facility (including no borrowings outstanding under the commercial paper program) and no borrowings were outstanding on the short-term portion. The credit facility has been used as necessary to meet liquidity requirements, including temporarily financing under-collected PGA balances, meeting the refund needs of over-collected balances, or temporarily funding capital expenditures. The credit facility has generally been adequate for Southwest Gas’ needs outside of funds raised through operations and other types of external financing.</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has a $50 million commercial paper program. Any issuance under the commercial paper program is supported by Southwest Gas’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March 31, 2026, there were no borrowings outstanding under this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significant changes with regard to the critical accounting policies and estimates disclosed in the MD&amp;A in the Companies’ Annual Report on Form 10-K for the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2025 Annual Report on Form 10-K filed with the SEC. No material changes have occurred related to the disclosures about market risk since December 31,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has established disclosure controls and procedures (as defined in Rules 13a-15(e) and 15d-15(e) under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evaluation by management of the period covered by this report, management, including the Chief Executive Officer and Chief Financial Officer, believes the Company’s disclosure controls and procedures were not effective at attaining the level of reasonable assurance noted above due to the material weakness in internal control over financial reporting previously disclosed in Part II, Item 9A of our Annual Report, which continues to exist as of March 31,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 Update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evaluated the impact of the material weakness and has designed and is implementing changes to our internal control over financial reporting to address the material weakness in internal control over financial reporting described in our Annual Report. During the quarter ended March 31, 2026, we implemented the following changes:</w:t>
      </w:r>
    </w:p>
    <w:p>
      <w:pPr>
        <w:spacing w:after="0" w:line="68" w:lineRule="exact"/>
        <w:rPr>
          <w:sz w:val="20"/>
          <w:szCs w:val="20"/>
          <w:color w:val="auto"/>
        </w:rPr>
      </w:pPr>
    </w:p>
    <w:p>
      <w:pPr>
        <w:ind w:left="660" w:hanging="328"/>
        <w:spacing w:after="0" w:line="266" w:lineRule="auto"/>
        <w:tabs>
          <w:tab w:leader="none" w:pos="4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internal control framework over income tax accounting by modifying the control activities related to state tax apportionment rates. This expansion included the implementation of a formal interim review control designed to identify, evaluate, and document the impact of any significant changes in the Company’s organizational or operational structure on apportionment methodologies and rates.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these remediation measures are ongoing, we believe the planned remediation activities will be sufficient to remediate the material weakness described in our Annual Report once completed. The material weakness, however, will not be considered remediated until the applicable controls operate for a sufficient period of time and management has concluded, through testing, that these controls are operating effectively. Additionally, we may take additional measures to address the material weakness or modify the remediation plan described above.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most recent evaluation, as of March 31, 2026, management, including the Chief Executive Officer and Chief Financial Officer, believes Southwest Gas’ disclosure controls and procedures were effective at attaining the level of reasonable assurance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changes outlined above to remediate the material weakness, there have been no changes in the Company’s internal control over financial reporting (as defined in Rules 13a-15(f) and 15d-15(f) of the Exchange Act) during the first quarter of 2026 that have materially affected, or are likely to materially affect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Rules 13a-15(f) and 15d-15(f) of the Exchange Act) during the first quarter of 2026 that have materially affected, or are likely to materially affect the Company’s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changes in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we initiated a project to implement a new financial statement consolidation software system. The implementation is expected to require modifications to certain business processes and internal controls over financial reporting and is anticipated to occur in mid-2026. Management is currently evaluating the design and operating effectiveness of internal controls related to the system implementation. The Audit Committee receives periodic updates on the status of the project and provides oversight consistent with its responsibilities for internal control over financial reporting. Any necessary changes to internal controls will be implemented prior to the applicable system reliance dates associated with the implementation.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Gas are named as defendants in various legal proceedings. The ultimate dispositions of these proceedings are not presently determinable; however, it is the opinion of management that none of these legal proceedings individually or in the aggregate have had or will have a material adverse impact on the Company’s or Southwest Gas’ financial position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As of March 31, 2026, there have been no material changes to the risk factors previously disclosed in response to “Part I - Item1A.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in our Annual Report on Form 10-K for the year ended December 31,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5(a) and 5(b).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ITEM 5(c). </w:t>
      </w:r>
      <w:r>
        <w:rPr>
          <w:rFonts w:ascii="Times New Roman" w:cs="Times New Roman" w:eastAsia="Times New Roman" w:hAnsi="Times New Roman"/>
          <w:sz w:val="18"/>
          <w:szCs w:val="18"/>
          <w:color w:val="auto"/>
        </w:rPr>
        <w:t>During the fiscal quarter ended March 31, 2026, none of our directors or officers (as defined in Rule 16a-1(f) of the Exchange Act)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or terminated a “Rule 10b5-1 trading arrangement” or “non-Rule 10b5-1 trading arrangement,” as those terms are defined under Item 408 of Regulation S-K.</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4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Holdings, Inc.</w:t>
            </w:r>
          </w:p>
        </w:tc>
        <w:tc>
          <w:tcPr>
            <w:tcW w:w="4040" w:type="dxa"/>
            <w:vAlign w:val="bottom"/>
          </w:tcPr>
          <w:p>
            <w:pPr>
              <w:spacing w:after="0"/>
              <w:rPr>
                <w:sz w:val="17"/>
                <w:szCs w:val="17"/>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3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Corporation</w:t>
            </w:r>
          </w:p>
        </w:tc>
        <w:tc>
          <w:tcPr>
            <w:tcW w:w="4180" w:type="dxa"/>
            <w:vAlign w:val="bottom"/>
            <w:gridSpan w:val="2"/>
          </w:tcPr>
          <w:p>
            <w:pPr>
              <w:spacing w:after="0"/>
              <w:rPr>
                <w:sz w:val="22"/>
                <w:szCs w:val="22"/>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4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906 Certifications–Southwest Gas Holdings, Inc.</w:t>
            </w:r>
          </w:p>
        </w:tc>
        <w:tc>
          <w:tcPr>
            <w:tcW w:w="4040" w:type="dxa"/>
            <w:vAlign w:val="bottom"/>
          </w:tcPr>
          <w:p>
            <w:pPr>
              <w:spacing w:after="0"/>
              <w:rPr>
                <w:sz w:val="22"/>
                <w:szCs w:val="22"/>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Corporation</w:t>
            </w:r>
          </w:p>
        </w:tc>
      </w:tr>
      <w:tr>
        <w:trPr>
          <w:trHeight w:val="20"/>
        </w:trPr>
        <w:tc>
          <w:tcPr>
            <w:tcW w:w="16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r>
      <w:tr>
        <w:trPr>
          <w:trHeight w:val="25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the Quarterly Report on Form 10-Q of Southwest Gas Holdings, Inc. and</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March 31, 2026, were formatted in Inline XBRL (Extensible</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Business Reporting Language): (1) Southwest Gas Holdings, Inc. and Subsidiaries Condensed Consolidated</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Balance Sheets, (ii) Southwest Gas Holdings, Inc. and Subsidiaries Condensed Consolidated Statements of</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Income,  (iii)  Southwest  Gas  Holdings,  Inc.  and  Subsidiaries  Condensed  Consolidated  Statements  of</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(iv)  Southwest  Gas  Holdings,  Inc.  and  Subsidiaries  Condensed  Consolidated</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w w:val="99"/>
              </w:rPr>
              <w:t>Statements of Equity, (vi) Southwest Gas Corporation and Subsidiaries Condensed Consolidated Balance Sheets,</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(vii) Southwest Gas Corporation and Subsidiaries Condensed Consolidated Statements of Income, (viii)</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Comprehensive Income,</w:t>
            </w:r>
          </w:p>
        </w:tc>
      </w:tr>
      <w:tr>
        <w:trPr>
          <w:trHeight w:val="184"/>
        </w:trPr>
        <w:tc>
          <w:tcPr>
            <w:tcW w:w="16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(ix) Southwest Gas Corporation and Subsidiaries Condensed Consolidated Statements of Cash Flows, (x)</w:t>
            </w:r>
          </w:p>
        </w:tc>
      </w:tr>
      <w:tr>
        <w:trPr>
          <w:trHeight w:val="180"/>
        </w:trPr>
        <w:tc>
          <w:tcPr>
            <w:tcW w:w="1620" w:type="dxa"/>
            <w:vAlign w:val="bottom"/>
          </w:tcPr>
          <w:p>
            <w:pPr>
              <w:spacing w:after="0"/>
              <w:rPr>
                <w:sz w:val="15"/>
                <w:szCs w:val="15"/>
                <w:color w:val="auto"/>
              </w:rPr>
            </w:pPr>
          </w:p>
        </w:tc>
        <w:tc>
          <w:tcPr>
            <w:tcW w:w="816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Equity. The instance</w:t>
            </w:r>
          </w:p>
        </w:tc>
      </w:tr>
      <w:tr>
        <w:trPr>
          <w:trHeight w:val="175"/>
        </w:trPr>
        <w:tc>
          <w:tcPr>
            <w:tcW w:w="1620" w:type="dxa"/>
            <w:vAlign w:val="bottom"/>
          </w:tcPr>
          <w:p>
            <w:pPr>
              <w:spacing w:after="0"/>
              <w:rPr>
                <w:sz w:val="15"/>
                <w:szCs w:val="15"/>
                <w:color w:val="auto"/>
              </w:rPr>
            </w:pPr>
          </w:p>
        </w:tc>
        <w:tc>
          <w:tcPr>
            <w:tcW w:w="81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its XBRL tags are embedded within the Inline</w:t>
            </w:r>
          </w:p>
        </w:tc>
      </w:tr>
      <w:tr>
        <w:trPr>
          <w:trHeight w:val="234"/>
        </w:trPr>
        <w:tc>
          <w:tcPr>
            <w:tcW w:w="1620" w:type="dxa"/>
            <w:vAlign w:val="bottom"/>
          </w:tcPr>
          <w:p>
            <w:pPr>
              <w:spacing w:after="0"/>
              <w:rPr>
                <w:sz w:val="20"/>
                <w:szCs w:val="20"/>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2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25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May 5, 2026</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S. Forsberg,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May 5, 2026</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and Treasurer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S. Forsberg,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and Treasurer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March 31, 2026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March 31, 2026 as filed with the Securities and Exchange Commission (the “Report”), I, Justin S. Forsberg, Senior Vice President/Chief Financial Officer and Treasurer of the Company, hereby certify as of the date hereof, solely for purposes of Title 18, Chapter 63, Section 1350 of the United States Code, that to the best of my knowledge:</w:t>
      </w:r>
    </w:p>
    <w:p>
      <w:pPr>
        <w:spacing w:after="0" w:line="99" w:lineRule="exact"/>
        <w:rPr>
          <w:sz w:val="20"/>
          <w:szCs w:val="20"/>
          <w:color w:val="auto"/>
        </w:rPr>
      </w:pPr>
    </w:p>
    <w:p>
      <w:pPr>
        <w:ind w:left="560" w:hanging="30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ind w:left="6780"/>
        <w:spacing w:after="0" w:line="203" w:lineRule="auto"/>
        <w:rPr>
          <w:sz w:val="20"/>
          <w:szCs w:val="20"/>
          <w:color w:val="auto"/>
        </w:rPr>
      </w:pPr>
      <w:r>
        <w:rPr>
          <w:rFonts w:ascii="Times New Roman" w:cs="Times New Roman" w:eastAsia="Times New Roman" w:hAnsi="Times New Roman"/>
          <w:sz w:val="18"/>
          <w:szCs w:val="18"/>
          <w:color w:val="auto"/>
        </w:rPr>
        <w:t>Senior Vice President/Chief Financial Officer and Treasurer</w:t>
      </w: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March 31, 2026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March 31, 2026 as filed with the Securities and Exchange Commission (the “Report”), I, Justin S. Forsberg, Senior Vice President/Chief Financial Officer and Treasurer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Justin S. Forsberg</w:t>
      </w:r>
    </w:p>
    <w:p>
      <w:pPr>
        <w:ind w:left="6780"/>
        <w:spacing w:after="0" w:line="203" w:lineRule="auto"/>
        <w:rPr>
          <w:sz w:val="20"/>
          <w:szCs w:val="20"/>
          <w:color w:val="auto"/>
        </w:rPr>
      </w:pPr>
      <w:r>
        <w:rPr>
          <w:rFonts w:ascii="Times New Roman" w:cs="Times New Roman" w:eastAsia="Times New Roman" w:hAnsi="Times New Roman"/>
          <w:sz w:val="18"/>
          <w:szCs w:val="18"/>
          <w:color w:val="auto"/>
        </w:rPr>
        <w:t>Senior Vice President/Chief Financial Officer and Treasurer</w:t>
      </w: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2026-05-05T07:14:08Z</dcterms:created>
  <dcterms:modified xsi:type="dcterms:W3CDTF">2026-05-05T07:14:08Z</dcterms:modified>
</cp:coreProperties>
</file>