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tbl>
      <w:tblPr>
        <w:tblW w:w="10205" w:type="dxa"/>
        <w:jc w:val="left"/>
        <w:tblInd w:w="0" w:type="dxa"/>
        <w:tblLayout w:type="fixed"/>
        <w:tblCellMar>
          <w:top w:w="28" w:type="dxa"/>
          <w:left w:w="28" w:type="dxa"/>
          <w:bottom w:w="28" w:type="dxa"/>
          <w:right w:w="28" w:type="dxa"/>
        </w:tblCellMar>
      </w:tblPr>
      <w:tblGrid>
        <w:gridCol w:w="527"/>
        <w:gridCol w:w="464"/>
        <w:gridCol w:w="465"/>
        <w:gridCol w:w="109"/>
        <w:gridCol w:w="109"/>
        <w:gridCol w:w="109"/>
        <w:gridCol w:w="732"/>
        <w:gridCol w:w="715"/>
        <w:gridCol w:w="698"/>
        <w:gridCol w:w="429"/>
        <w:gridCol w:w="404"/>
        <w:gridCol w:w="404"/>
        <w:gridCol w:w="422"/>
        <w:gridCol w:w="404"/>
        <w:gridCol w:w="404"/>
        <w:gridCol w:w="109"/>
        <w:gridCol w:w="109"/>
        <w:gridCol w:w="109"/>
        <w:gridCol w:w="360"/>
        <w:gridCol w:w="360"/>
        <w:gridCol w:w="361"/>
        <w:gridCol w:w="109"/>
        <w:gridCol w:w="109"/>
        <w:gridCol w:w="109"/>
        <w:gridCol w:w="606"/>
        <w:gridCol w:w="606"/>
        <w:gridCol w:w="863"/>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16"/>
              </w:rPr>
              <w:t>Commission    </w:t>
            </w:r>
          </w:p>
          <w:p>
            <w:pPr>
              <w:pStyle w:val="TableContents"/>
              <w:bidi w:val="0"/>
              <w:spacing w:lineRule="auto" w:line="240" w:before="0" w:after="0"/>
              <w:jc w:val="center"/>
              <w:rPr/>
            </w:pPr>
            <w:r>
              <w:rPr>
                <w:color w:val="000000"/>
              </w:rPr>
              <w:t>    </w:t>
            </w:r>
            <w:r>
              <w:rPr>
                <w:rFonts w:ascii="Times New Roman;serif" w:hAnsi="Times New Roman;serif"/>
                <w:b w:val="false"/>
                <w:i/>
                <w:color w:val="000000"/>
                <w:sz w:val="16"/>
              </w:rPr>
              <w:t>File Number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 and</w:t>
              <w:br/>
              <w:t>principal office address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w:t>
              <w:br/>
              <w:t>Employer Identification No.</w:t>
            </w:r>
          </w:p>
        </w:tc>
      </w:tr>
      <w:tr>
        <w:trPr/>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001-37976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Southwest Gas Holdings, Inc.</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81-3881866</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8360 S. Durango Drive</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Nevada</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89113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(702)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876-7237</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1-7850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Southwest Gas Corporation</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88-0085720</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8360 S. Durango Drive</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Nevada</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89113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(702)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876-7237</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93"/>
        <w:gridCol w:w="1290"/>
        <w:gridCol w:w="1277"/>
        <w:gridCol w:w="273"/>
        <w:gridCol w:w="273"/>
        <w:gridCol w:w="273"/>
        <w:gridCol w:w="437"/>
        <w:gridCol w:w="437"/>
        <w:gridCol w:w="422"/>
        <w:gridCol w:w="273"/>
        <w:gridCol w:w="273"/>
        <w:gridCol w:w="273"/>
        <w:gridCol w:w="941"/>
        <w:gridCol w:w="941"/>
        <w:gridCol w:w="1329"/>
      </w:tblGrid>
      <w:tr>
        <w:trPr/>
        <w:tc>
          <w:tcPr>
            <w:tcW w:w="149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Southwest Gas Holdings, Inc.:</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Southwest Gas Holdings, Inc. Common Stock, $1 Par Value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SWX</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Southwest Gas Corporation:</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8"/>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Southwest Gas Holdings, Inc.:</w:t>
      </w:r>
    </w:p>
    <w:tbl>
      <w:tblPr>
        <w:tblW w:w="5922" w:type="dxa"/>
        <w:jc w:val="left"/>
        <w:tblInd w:w="0" w:type="dxa"/>
        <w:tblLayout w:type="fixed"/>
        <w:tblCellMar>
          <w:top w:w="28" w:type="dxa"/>
          <w:left w:w="28" w:type="dxa"/>
          <w:bottom w:w="28" w:type="dxa"/>
          <w:right w:w="28" w:type="dxa"/>
        </w:tblCellMar>
      </w:tblPr>
      <w:tblGrid>
        <w:gridCol w:w="983"/>
        <w:gridCol w:w="611"/>
        <w:gridCol w:w="532"/>
        <w:gridCol w:w="109"/>
        <w:gridCol w:w="109"/>
        <w:gridCol w:w="109"/>
        <w:gridCol w:w="109"/>
        <w:gridCol w:w="109"/>
        <w:gridCol w:w="109"/>
        <w:gridCol w:w="109"/>
        <w:gridCol w:w="109"/>
        <w:gridCol w:w="109"/>
        <w:gridCol w:w="704"/>
        <w:gridCol w:w="704"/>
        <w:gridCol w:w="708"/>
        <w:gridCol w:w="109"/>
        <w:gridCol w:w="109"/>
        <w:gridCol w:w="109"/>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Southwest Gas Corporation:</w:t>
      </w:r>
    </w:p>
    <w:tbl>
      <w:tblPr>
        <w:tblW w:w="5852" w:type="dxa"/>
        <w:jc w:val="left"/>
        <w:tblInd w:w="0" w:type="dxa"/>
        <w:tblLayout w:type="fixed"/>
        <w:tblCellMar>
          <w:top w:w="28" w:type="dxa"/>
          <w:left w:w="28" w:type="dxa"/>
          <w:bottom w:w="28" w:type="dxa"/>
          <w:right w:w="28" w:type="dxa"/>
        </w:tblCellMar>
      </w:tblPr>
      <w:tblGrid>
        <w:gridCol w:w="745"/>
        <w:gridCol w:w="654"/>
        <w:gridCol w:w="657"/>
        <w:gridCol w:w="109"/>
        <w:gridCol w:w="109"/>
        <w:gridCol w:w="109"/>
        <w:gridCol w:w="109"/>
        <w:gridCol w:w="109"/>
        <w:gridCol w:w="109"/>
        <w:gridCol w:w="109"/>
        <w:gridCol w:w="109"/>
        <w:gridCol w:w="109"/>
        <w:gridCol w:w="704"/>
        <w:gridCol w:w="704"/>
        <w:gridCol w:w="708"/>
        <w:gridCol w:w="109"/>
        <w:gridCol w:w="109"/>
        <w:gridCol w:w="109"/>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Indicate by check mark whether each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Southwest Gas Holdings, Inc. Common Stock, $1 Par Value, 72,445,853 shares as of July 31, 2026.</w:t>
      </w:r>
    </w:p>
    <w:p>
      <w:pPr>
        <w:pStyle w:val="TextBody"/>
        <w:bidi w:val="0"/>
        <w:spacing w:lineRule="auto" w:line="288" w:before="120" w:after="283"/>
        <w:jc w:val="both"/>
        <w:rPr/>
      </w:pPr>
      <w:r>
        <w:rPr>
          <w:rFonts w:ascii="Times New Roman;serif" w:hAnsi="Times New Roman;serif"/>
          <w:b w:val="false"/>
          <w:color w:val="000000"/>
          <w:sz w:val="18"/>
        </w:rPr>
        <w:t xml:space="preserve">All of the outstanding shares of common stock ($1 par value) of Southwest Gas Corporation were held by Southwest Gas Holdings, Inc. as of </w:t>
      </w:r>
      <w:r>
        <w:rPr>
          <w:rFonts w:ascii="Times New Roman;serif" w:hAnsi="Times New Roman;serif"/>
          <w:b w:val="false"/>
          <w:color w:val="000000"/>
          <w:sz w:val="18"/>
          <w:shd w:fill="FFFFFF" w:val="clear"/>
        </w:rPr>
        <w:t>July 31, 2026</w:t>
      </w:r>
      <w:r>
        <w:rPr>
          <w:rFonts w:ascii="Times New Roman;serif" w:hAnsi="Times New Roman;serif"/>
          <w:b w:val="false"/>
          <w:color w:val="000000"/>
          <w:sz w:val="18"/>
        </w:rPr>
        <w:t>.</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SOUTHWEST GAS CORPORATION MEETS THE CONDITIONS SET FORTH IN GENERAL INSTRUCTION (H)(1)(a) and (b) OF FORM 10-Q AND IS THEREFORE FILING THIS REPORT WITH THE REDUCED DISCLOSURE FORMAT AS PERMITTED BY GENERAL INSTRUCTION H(2).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FILING FORMAT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KEY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glossary of frequently used abbreviations or acronyms that are found throughout this report.</w:t>
      </w:r>
    </w:p>
    <w:tbl>
      <w:tblPr>
        <w:tblW w:w="10205" w:type="dxa"/>
        <w:jc w:val="left"/>
        <w:tblInd w:w="0" w:type="dxa"/>
        <w:tblLayout w:type="fixed"/>
        <w:tblCellMar>
          <w:top w:w="28" w:type="dxa"/>
          <w:left w:w="28" w:type="dxa"/>
          <w:bottom w:w="28" w:type="dxa"/>
          <w:right w:w="28" w:type="dxa"/>
        </w:tblCellMar>
      </w:tblPr>
      <w:tblGrid>
        <w:gridCol w:w="627"/>
        <w:gridCol w:w="552"/>
        <w:gridCol w:w="553"/>
        <w:gridCol w:w="1699"/>
        <w:gridCol w:w="1396"/>
        <w:gridCol w:w="1412"/>
        <w:gridCol w:w="584"/>
        <w:gridCol w:w="584"/>
        <w:gridCol w:w="586"/>
        <w:gridCol w:w="777"/>
        <w:gridCol w:w="591"/>
        <w:gridCol w:w="844"/>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4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c>
          <w:tcPr>
            <w:tcW w:w="17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2212"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732"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w:t>
            </w:r>
          </w:p>
        </w:tc>
        <w:tc>
          <w:tcPr>
            <w:tcW w:w="45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 Corporation Commission</w:t>
            </w:r>
          </w:p>
        </w:tc>
        <w:tc>
          <w:tcPr>
            <w:tcW w:w="175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212" w:type="dxa"/>
            <w:gridSpan w:val="3"/>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GCBA</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Cost Balancing Account</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All-Party Settlement</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in September 2025 agreeing to a revenue increase, before consideration of the litigated capital structure and cost of capital.</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Revenues Adjustment</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Basin</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Basin Gas Transmission Company</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Rate Adjustment</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mcf</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 cubic feet</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MD&amp;A</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PBOP</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 Other than Pensions</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of Southwest Gas Holdings, Inc.</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Gas Adjustment</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PUCN</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Utilities Commission of Nevada</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Centuri, or Utility Infrastructure Services</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Centuri Group Inc, for periods prior to April 22, 2024, or subsequently, Centuri Holdings, Inc.</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QRP</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Retirement Plan</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Adjustment Mechanism</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COLI</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life insurance</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Reform Act</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Securities Litigation Reform Act of 1995</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 (together with its subsidiaries)</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RNG</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Natural Gas</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COYL</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Customer-Owned Yard Line</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Senate Bill</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CPUC</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Public Utilities Commission</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DCA</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Charge Adjustment</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Executive Retirement Plan</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DEAA</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Energy Accounting Adjustment</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Integrity Mechanism</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Deadband</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specified range, approved by the ACC, around an authorized return on equity within which a utility’s earnings are allowed to fluctuate without triggering an annual rate adjustment.</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or Natural Gas Distribution</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Corporation and its subsidiaries</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EADIT</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Accumulated Deferred Income Taxes</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 (standalone)</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TEAM</w:t>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Adjustor Mechanism</w:t>
            </w:r>
          </w:p>
        </w:tc>
      </w:tr>
      <w:tr>
        <w:trPr/>
        <w:tc>
          <w:tcPr>
            <w:tcW w:w="17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1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7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FERC</w:t>
            </w:r>
          </w:p>
        </w:tc>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Energy Regulatory Commission</w:t>
            </w:r>
          </w:p>
        </w:tc>
        <w:tc>
          <w:tcPr>
            <w:tcW w:w="175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450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221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450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221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450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221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450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221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statements which constitute “forward-looking statements” within the meaning of the Reform Act, Section 27A of the Securities Act of 1933, as amended, and Section 21E of the Exchange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and the disposition in any regulatory proceeding of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changes in bank lending practices, the Company’s views regarding its liquidity position, ability to raise funds and receive external financing capacity and the intent and ability to issue various financing instruments and stock under our ATM program or otherwise, expectations with respect to future dividends and the Board’s current payout strategy, pension and postretirement benefits, assumptions used and the expectations regarding the treasury futures overlay, the effect of any other rate changes or regulatory proceedings, impacts of adopted or future ASUs, statements regarding future gas prices, gas purchase contracts and pipeline imbalance charges or claims related thereto, recoverability of regulatory assets, the impact of certain legal proceedings or claims, the timing and scope of the Great Basin 2028 expansion project and potential other future expansion projects, the expected timing and fulfillment of Great Basin backlog performance obligations and the amounts expected to be recognized in future periods, the timing and results of future rate hearings, including any ongoing or future general rate cases and other proceedings, and pending approvals, including proposed regulatory mechanisms and alternative ratemaking, or references to impacts believed to be timing-related, are forward-looking statements.</w:t>
      </w:r>
    </w:p>
    <w:p>
      <w:pPr>
        <w:pStyle w:val="TextBody"/>
        <w:bidi w:val="0"/>
        <w:spacing w:lineRule="auto" w:line="288" w:before="120" w:after="283"/>
        <w:jc w:val="both"/>
        <w:rPr/>
      </w:pPr>
      <w:r>
        <w:rPr>
          <w:rFonts w:ascii="Times New Roman;serif" w:hAnsi="Times New Roman;serif"/>
          <w:b w:val="false"/>
          <w:color w:val="000000"/>
          <w:sz w:val="20"/>
        </w:rPr>
        <w:t xml:space="preserve">A number of important factors affecting the business and financial results of the Company could cause actual results to differ materially from those stated in the forward-looking statements. For a discussion of these and other factors that could impact future results, see </w:t>
      </w:r>
      <w:r>
        <w:rPr>
          <w:rFonts w:ascii="Times New Roman;serif" w:hAnsi="Times New Roman;serif"/>
          <w:b/>
          <w:color w:val="000000"/>
          <w:sz w:val="20"/>
        </w:rPr>
        <w:t xml:space="preserve">Item 1A. Risk Factors </w:t>
      </w:r>
      <w:r>
        <w:rPr>
          <w:rFonts w:ascii="Times New Roman;serif" w:hAnsi="Times New Roman;serif"/>
          <w:b w:val="false"/>
          <w:color w:val="000000"/>
          <w:sz w:val="20"/>
        </w:rPr>
        <w:t>and</w:t>
      </w:r>
      <w:r>
        <w:rPr>
          <w:color w:val="000000"/>
        </w:rPr>
        <w:t xml:space="preserve"> </w:t>
      </w:r>
      <w:r>
        <w:rPr>
          <w:rFonts w:ascii="Times New Roman;serif" w:hAnsi="Times New Roman;serif"/>
          <w:b/>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in the Annual Report on Form 10-K for the year ended December 31, 2025.</w:t>
      </w:r>
    </w:p>
    <w:p>
      <w:pPr>
        <w:pStyle w:val="TextBody"/>
        <w:bidi w:val="0"/>
        <w:spacing w:lineRule="auto" w:line="288" w:before="120" w:after="283"/>
        <w:jc w:val="both"/>
        <w:rPr/>
      </w:pPr>
      <w:r>
        <w:rPr>
          <w:rFonts w:ascii="Times New Roman;serif" w:hAnsi="Times New Roman;serif"/>
          <w:b w:val="false"/>
          <w:color w:val="000000"/>
          <w:sz w:val="20"/>
        </w:rPr>
        <w:t xml:space="preserve">All forward-looking statements in this quarterly report are made as of the date hereof, based on information available to the Company and Southwest Gas as of the date hereof, and the Company and Southwest Gas assume no obligation to update or revise any of their forward-looking statements, even if experience or future changes show that the indicated results or events will not be realized. </w:t>
      </w:r>
      <w:r>
        <w:rPr>
          <w:rFonts w:ascii="Times New Roman;serif" w:hAnsi="Times New Roman;serif"/>
          <w:b/>
          <w:color w:val="000000"/>
          <w:sz w:val="20"/>
        </w:rPr>
        <w:t>We caution you not to unduly rely on any forward-looking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 and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775" w:type="dxa"/>
        <w:jc w:val="center"/>
        <w:tblInd w:w="0" w:type="dxa"/>
        <w:tblLayout w:type="fixed"/>
        <w:tblCellMar>
          <w:top w:w="28" w:type="dxa"/>
          <w:left w:w="28" w:type="dxa"/>
          <w:bottom w:w="28" w:type="dxa"/>
          <w:right w:w="28" w:type="dxa"/>
        </w:tblCellMar>
      </w:tblPr>
      <w:tblGrid>
        <w:gridCol w:w="1807"/>
        <w:gridCol w:w="1585"/>
        <w:gridCol w:w="1602"/>
        <w:gridCol w:w="109"/>
        <w:gridCol w:w="109"/>
        <w:gridCol w:w="109"/>
        <w:gridCol w:w="211"/>
        <w:gridCol w:w="1081"/>
        <w:gridCol w:w="109"/>
        <w:gridCol w:w="109"/>
        <w:gridCol w:w="109"/>
        <w:gridCol w:w="109"/>
        <w:gridCol w:w="251"/>
        <w:gridCol w:w="1290"/>
        <w:gridCol w:w="185"/>
      </w:tblGrid>
      <w:tr>
        <w:trPr/>
        <w:tc>
          <w:tcPr>
            <w:tcW w:w="1807"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11,517,031 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(3,063,363)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regulated operations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8,690,539 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supplies, and gas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1,192,092 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368,020 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10,429,477 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$1 par (authorized - 120,000,000 shares;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- 72,443,899 and 72,224,593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3,961,119 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3,433,012 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7,394,131 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general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929,898 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investment tax credits,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removal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credits and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taxes and other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2,105,448 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10,475,435 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10,429,477 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4"/>
        <w:gridCol w:w="1279"/>
        <w:gridCol w:w="128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5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of gas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864,522 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Southwest Gas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7"/>
        <w:gridCol w:w="1461"/>
        <w:gridCol w:w="1388"/>
        <w:gridCol w:w="109"/>
        <w:gridCol w:w="109"/>
        <w:gridCol w:w="109"/>
        <w:gridCol w:w="211"/>
        <w:gridCol w:w="721"/>
        <w:gridCol w:w="109"/>
        <w:gridCol w:w="109"/>
        <w:gridCol w:w="109"/>
        <w:gridCol w:w="109"/>
        <w:gridCol w:w="211"/>
        <w:gridCol w:w="767"/>
        <w:gridCol w:w="109"/>
        <w:gridCol w:w="109"/>
        <w:gridCol w:w="109"/>
        <w:gridCol w:w="109"/>
        <w:gridCol w:w="211"/>
        <w:gridCol w:w="826"/>
        <w:gridCol w:w="109"/>
        <w:gridCol w:w="109"/>
        <w:gridCol w:w="109"/>
        <w:gridCol w:w="109"/>
        <w:gridCol w:w="211"/>
        <w:gridCol w:w="721"/>
        <w:gridCol w:w="155"/>
      </w:tblGrid>
      <w:tr>
        <w:trPr/>
        <w:tc>
          <w:tcPr>
            <w:tcW w:w="168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prior service cost, net of tax of $11, $11, $22 and $22,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net actuarial loss, net of tax of $606, $226, $1,212 and $452,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adjustment, net of tax of $7,015, ($152), $6,540 and ($304),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defined benefit pension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related to discontinued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Southwest Gas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055" w:type="dxa"/>
        <w:jc w:val="center"/>
        <w:tblInd w:w="0" w:type="dxa"/>
        <w:tblLayout w:type="fixed"/>
        <w:tblCellMar>
          <w:top w:w="28" w:type="dxa"/>
          <w:left w:w="28" w:type="dxa"/>
          <w:bottom w:w="28" w:type="dxa"/>
          <w:right w:w="28" w:type="dxa"/>
        </w:tblCellMar>
      </w:tblPr>
      <w:tblGrid>
        <w:gridCol w:w="2559"/>
        <w:gridCol w:w="2247"/>
        <w:gridCol w:w="2258"/>
        <w:gridCol w:w="109"/>
        <w:gridCol w:w="109"/>
        <w:gridCol w:w="109"/>
        <w:gridCol w:w="211"/>
        <w:gridCol w:w="826"/>
        <w:gridCol w:w="109"/>
        <w:gridCol w:w="109"/>
        <w:gridCol w:w="109"/>
        <w:gridCol w:w="109"/>
        <w:gridCol w:w="211"/>
        <w:gridCol w:w="826"/>
        <w:gridCol w:w="154"/>
      </w:tblGrid>
      <w:tr>
        <w:trPr/>
        <w:tc>
          <w:tcPr>
            <w:tcW w:w="255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charges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liabilities and deferred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property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(353,374)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short-term portion of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remittance -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principal 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(511,357)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currency translation in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 including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discontinued operations,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discontinued operations,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28"/>
        <w:gridCol w:w="2309"/>
        <w:gridCol w:w="2319"/>
        <w:gridCol w:w="109"/>
        <w:gridCol w:w="109"/>
        <w:gridCol w:w="109"/>
        <w:gridCol w:w="211"/>
        <w:gridCol w:w="783"/>
        <w:gridCol w:w="109"/>
        <w:gridCol w:w="109"/>
        <w:gridCol w:w="109"/>
        <w:gridCol w:w="109"/>
        <w:gridCol w:w="211"/>
        <w:gridCol w:w="826"/>
        <w:gridCol w:w="155"/>
      </w:tblGrid>
      <w:tr>
        <w:trPr/>
        <w:tc>
          <w:tcPr>
            <w:tcW w:w="2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 -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(benefit) paid, net -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 capitalized in regulated operations plant -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 capitalized in regulated operations plant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 capitalized in regulated operations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SOUTHWEST GAS HOLDINGS, INC. AND SUBSIDIARIES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EQUITY</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per share amounts)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tbl>
      <w:tblPr>
        <w:tblW w:w="10338" w:type="dxa"/>
        <w:jc w:val="center"/>
        <w:tblInd w:w="0" w:type="dxa"/>
        <w:tblLayout w:type="fixed"/>
        <w:tblCellMar>
          <w:top w:w="28" w:type="dxa"/>
          <w:left w:w="28" w:type="dxa"/>
          <w:bottom w:w="28" w:type="dxa"/>
          <w:right w:w="28" w:type="dxa"/>
        </w:tblCellMar>
      </w:tblPr>
      <w:tblGrid>
        <w:gridCol w:w="591"/>
        <w:gridCol w:w="282"/>
        <w:gridCol w:w="283"/>
        <w:gridCol w:w="109"/>
        <w:gridCol w:w="109"/>
        <w:gridCol w:w="109"/>
        <w:gridCol w:w="471"/>
        <w:gridCol w:w="250"/>
        <w:gridCol w:w="251"/>
        <w:gridCol w:w="109"/>
        <w:gridCol w:w="109"/>
        <w:gridCol w:w="109"/>
        <w:gridCol w:w="211"/>
        <w:gridCol w:w="721"/>
        <w:gridCol w:w="109"/>
        <w:gridCol w:w="109"/>
        <w:gridCol w:w="109"/>
        <w:gridCol w:w="109"/>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109"/>
        <w:gridCol w:w="109"/>
        <w:gridCol w:w="211"/>
        <w:gridCol w:w="97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72,224 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3,961,119 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arising during period, less amortization of unamortized benefit plan cost,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4,101,678 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($0.645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arising during period, less amortization of unamortized benefit plan cost, net of tax and regulatory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72,444 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4,125,290 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SOUTHWEST GAS HOLDINGS, INC. AND SUBSIDIARIES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EQUITY</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per share amounts)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(Unaudited)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(continued) </w:t>
      </w:r>
    </w:p>
    <w:tbl>
      <w:tblPr>
        <w:tblW w:w="13281"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469"/>
        <w:gridCol w:w="252"/>
        <w:gridCol w:w="231"/>
        <w:gridCol w:w="109"/>
        <w:gridCol w:w="109"/>
        <w:gridCol w:w="109"/>
        <w:gridCol w:w="211"/>
        <w:gridCol w:w="721"/>
        <w:gridCol w:w="109"/>
        <w:gridCol w:w="109"/>
        <w:gridCol w:w="109"/>
        <w:gridCol w:w="109"/>
        <w:gridCol w:w="211"/>
        <w:gridCol w:w="976"/>
        <w:gridCol w:w="109"/>
        <w:gridCol w:w="109"/>
        <w:gridCol w:w="109"/>
        <w:gridCol w:w="109"/>
        <w:gridCol w:w="211"/>
        <w:gridCol w:w="736"/>
        <w:gridCol w:w="109"/>
        <w:gridCol w:w="109"/>
        <w:gridCol w:w="109"/>
        <w:gridCol w:w="109"/>
        <w:gridCol w:w="211"/>
        <w:gridCol w:w="826"/>
        <w:gridCol w:w="109"/>
        <w:gridCol w:w="109"/>
        <w:gridCol w:w="109"/>
        <w:gridCol w:w="109"/>
        <w:gridCol w:w="211"/>
        <w:gridCol w:w="976"/>
        <w:gridCol w:w="109"/>
        <w:gridCol w:w="109"/>
        <w:gridCol w:w="109"/>
        <w:gridCol w:w="109"/>
        <w:gridCol w:w="218"/>
        <w:gridCol w:w="854"/>
        <w:gridCol w:w="114"/>
        <w:gridCol w:w="109"/>
        <w:gridCol w:w="109"/>
        <w:gridCol w:w="109"/>
        <w:gridCol w:w="211"/>
        <w:gridCol w:w="9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Southwest Gas Holdings,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71,783 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758,649 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3,504,187 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177,235 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3,681,422 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($0.62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71,911 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2,726,758 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3,578,886 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172,559 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3,751,445 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($0.62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Centuri stock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264,996 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71,978 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2,872,681 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3,647,386 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441,148 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4,088,534 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221" w:type="dxa"/>
        <w:jc w:val="center"/>
        <w:tblInd w:w="0" w:type="dxa"/>
        <w:tblLayout w:type="fixed"/>
        <w:tblCellMar>
          <w:top w:w="28" w:type="dxa"/>
          <w:left w:w="28" w:type="dxa"/>
          <w:bottom w:w="28" w:type="dxa"/>
          <w:right w:w="28" w:type="dxa"/>
        </w:tblCellMar>
      </w:tblPr>
      <w:tblGrid>
        <w:gridCol w:w="1607"/>
        <w:gridCol w:w="1409"/>
        <w:gridCol w:w="1424"/>
        <w:gridCol w:w="109"/>
        <w:gridCol w:w="109"/>
        <w:gridCol w:w="109"/>
        <w:gridCol w:w="211"/>
        <w:gridCol w:w="1081"/>
        <w:gridCol w:w="109"/>
        <w:gridCol w:w="109"/>
        <w:gridCol w:w="109"/>
        <w:gridCol w:w="109"/>
        <w:gridCol w:w="251"/>
        <w:gridCol w:w="1290"/>
        <w:gridCol w:w="185"/>
      </w:tblGrid>
      <w:tr>
        <w:trPr/>
        <w:tc>
          <w:tcPr>
            <w:tcW w:w="16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11,517,031 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(3,063,363)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regulated operations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8,690,539 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169,947 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supplies, and gas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768,129 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365,376 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9,993,991 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3,524,966 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3,433,012 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6,957,978 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general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884,724 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investment tax credits,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removal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credits and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taxes and other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2,151,289 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10,239,053 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9,993,991 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711" w:type="dxa"/>
        <w:jc w:val="left"/>
        <w:tblInd w:w="0" w:type="dxa"/>
        <w:tblLayout w:type="fixed"/>
        <w:tblCellMar>
          <w:top w:w="28" w:type="dxa"/>
          <w:left w:w="28" w:type="dxa"/>
          <w:bottom w:w="28" w:type="dxa"/>
          <w:right w:w="28" w:type="dxa"/>
        </w:tblCellMar>
      </w:tblPr>
      <w:tblGrid>
        <w:gridCol w:w="949"/>
        <w:gridCol w:w="836"/>
        <w:gridCol w:w="83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of gas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35"/>
        <w:gridCol w:w="1414"/>
        <w:gridCol w:w="1428"/>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3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prior service cost, net of tax of $11, $11, $22 and $22,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net actuarial loss, net of tax of $606, $226, $1,212 and $452,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adjustment, net of tax of $7,015, ($152), $6,540 and ($304),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defined benefit pension plans,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46" w:type="dxa"/>
        <w:jc w:val="left"/>
        <w:tblInd w:w="0" w:type="dxa"/>
        <w:tblLayout w:type="fixed"/>
        <w:tblCellMar>
          <w:top w:w="28" w:type="dxa"/>
          <w:left w:w="28" w:type="dxa"/>
          <w:bottom w:w="28" w:type="dxa"/>
          <w:right w:w="28" w:type="dxa"/>
        </w:tblCellMar>
      </w:tblPr>
      <w:tblGrid>
        <w:gridCol w:w="2434"/>
        <w:gridCol w:w="2137"/>
        <w:gridCol w:w="2148"/>
        <w:gridCol w:w="109"/>
        <w:gridCol w:w="109"/>
        <w:gridCol w:w="109"/>
        <w:gridCol w:w="211"/>
        <w:gridCol w:w="826"/>
        <w:gridCol w:w="109"/>
        <w:gridCol w:w="109"/>
        <w:gridCol w:w="109"/>
        <w:gridCol w:w="109"/>
        <w:gridCol w:w="211"/>
        <w:gridCol w:w="826"/>
        <w:gridCol w:w="109"/>
        <w:gridCol w:w="109"/>
        <w:gridCol w:w="109"/>
        <w:gridCol w:w="109"/>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deferred charges and 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liabilities and deferred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property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remittance -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principal 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AFUDC capitalized in regulated operations plant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96"/>
        <w:gridCol w:w="282"/>
        <w:gridCol w:w="283"/>
        <w:gridCol w:w="109"/>
        <w:gridCol w:w="109"/>
        <w:gridCol w:w="109"/>
        <w:gridCol w:w="469"/>
        <w:gridCol w:w="252"/>
        <w:gridCol w:w="231"/>
        <w:gridCol w:w="109"/>
        <w:gridCol w:w="109"/>
        <w:gridCol w:w="109"/>
        <w:gridCol w:w="211"/>
        <w:gridCol w:w="721"/>
        <w:gridCol w:w="109"/>
        <w:gridCol w:w="109"/>
        <w:gridCol w:w="109"/>
        <w:gridCol w:w="109"/>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97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1,314,911 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3,524,966 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Share-based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1,451,880 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3,662,448 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Share-based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Southwest Gas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 and 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2,317,144 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1,492,562 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3,848,887 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2,165,002 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3,235,486 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Share-based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2,167,118 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3,380,149 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declared to Southwest Gas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Share-based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actuarial gain arising during period, less amortization of unamortized benefit plan cost,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47,482 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2,169,367 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1,203,006 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3,383,619 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rFonts w:ascii="Times New Roman;serif" w:hAnsi="Times New Roman;serif"/>
          <w:b w:val="false"/>
          <w:color w:val="000000"/>
          <w:sz w:val="16"/>
        </w:rPr>
        <w:t>Relates to capital contributions from Southwest Gas Holdings, Inc. associated with share-based compensation awards granted to Southwest Gas employees.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 Background and Organization </w:t>
      </w:r>
    </w:p>
    <w:p>
      <w:pPr>
        <w:pStyle w:val="TextBody"/>
        <w:bidi w:val="0"/>
        <w:spacing w:lineRule="auto" w:line="288" w:before="120" w:after="283"/>
        <w:jc w:val="left"/>
        <w:rPr/>
      </w:pPr>
      <w:r>
        <w:rPr>
          <w:rFonts w:ascii="Times New Roman;serif" w:hAnsi="Times New Roman;serif"/>
          <w:b w:val="false"/>
          <w:i/>
          <w:color w:val="000000"/>
          <w:sz w:val="20"/>
        </w:rPr>
        <w:t>Nature of Operations.</w:t>
      </w:r>
      <w:r>
        <w:rPr>
          <w:color w:val="000000"/>
        </w:rPr>
        <w:t xml:space="preserve"> </w:t>
      </w:r>
      <w:r>
        <w:rPr>
          <w:rFonts w:ascii="Times New Roman;serif" w:hAnsi="Times New Roman;serif"/>
          <w:b w:val="false"/>
          <w:color w:val="000000"/>
          <w:sz w:val="20"/>
        </w:rPr>
        <w:t>The Company, a Delaware corporation, is a holding company owning all of the shares of common stock of Southwest Gas, a California corporation. The Company’s common stock trades under the ticker symbol “SWX.”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Until the deconsolidation of Centuri in August 2025, the Company’s businesses were managed within two separate reportable segments, our Natural Gas Distribution segment (Southwest Gas) and our Utility Infrastructure Services segment (Centuri). After August 2025, our business is solely comprised of our Natural Gas Distribution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20" w:after="283"/>
        <w:jc w:val="both"/>
        <w:rPr/>
      </w:pP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The condensed consolidated financial statements of the Company and Southwest Gas included herein have been prepared pursuant to the rules and regulations of the SEC. The year-end 2025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pStyle w:val="TextBody"/>
        <w:bidi w:val="0"/>
        <w:spacing w:lineRule="auto" w:line="288" w:before="120" w:after="283"/>
        <w:jc w:val="both"/>
        <w:rPr/>
      </w:pPr>
      <w:r>
        <w:rPr>
          <w:rFonts w:ascii="Times New Roman;serif" w:hAnsi="Times New Roman;serif"/>
          <w:b w:val="false"/>
          <w:i/>
          <w:color w:val="000000"/>
          <w:sz w:val="20"/>
        </w:rPr>
        <w:t xml:space="preserve">Discontinued Operations. </w:t>
      </w:r>
      <w:r>
        <w:rPr>
          <w:rFonts w:ascii="Times New Roman;serif" w:hAnsi="Times New Roman;serif"/>
          <w:b w:val="false"/>
          <w:color w:val="000000"/>
          <w:sz w:val="20"/>
        </w:rPr>
        <w:t xml:space="preserve">On August 11, 2025, the Company completed a secondary public offering and a concurrent private placement transaction with Icahn investment entities. These transactions resulted in the sale of a combined total of 18,823,500 shares of Centuri common stock previously held by the Company. Following the completion of these transactions, the Company no longer maintained a controlling financial interest in Centuri. Accordingly, Centuri’s assets, liabilities, and results of operations are no longer included in the Company’s condensed consolidated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sale of Centuri, which comprised the Company’s Utility Infrastructure Services segment, represented a strategic shift that had a significant impact on the Company’s operations and financial results. Therefore, Centuri met the criteria to be reported as discontinued operations in accordance with U.S. GAAP. The results of discontinued operations are aggregated and presented separately in the Condensed Consolidated Statements of Income and Condensed Consolidated Statements of Cash Flows for all periods presented. Unless otherwise noted, the financial disclosures and related information provided herein relate to our continuing operations, which exclude our former Utility Infrastructure Services segment, and prior period amounts have been recast to reflect discontinued operations.</w:t>
      </w:r>
    </w:p>
    <w:p>
      <w:pPr>
        <w:pStyle w:val="TextBody"/>
        <w:bidi w:val="0"/>
        <w:spacing w:lineRule="auto" w:line="288" w:before="120" w:after="283"/>
        <w:jc w:val="both"/>
        <w:rPr/>
      </w:pPr>
      <w:r>
        <w:rPr>
          <w:rFonts w:ascii="Times New Roman;serif" w:hAnsi="Times New Roman;serif"/>
          <w:b w:val="false"/>
          <w:i/>
          <w:color w:val="000000"/>
          <w:sz w:val="20"/>
        </w:rPr>
        <w:t>Segment Information</w:t>
      </w:r>
      <w:r>
        <w:rPr>
          <w:rFonts w:ascii="Times New Roman;serif" w:hAnsi="Times New Roman;serif"/>
          <w:b w:val="false"/>
          <w:color w:val="000000"/>
          <w:sz w:val="20"/>
        </w:rPr>
        <w:t>. The Company’s and Southwest Gas’ CEO and President has been identified as the CODM for each company respectively. The CODM reviews the Company’s income (loss) from continuing operations and Southwest Gas’ net income as reported on their respective condensed consolidated statements of income in assessing performance and allocating resources. The CODM considers budget-to-actual variances against these metrics when making decisions about allocating capital and personnel. The CODM also uses income (loss) from continuing operations and net income to assess the return on assets, margin earned, and in assessing the compensation of certain employees.</w:t>
      </w:r>
    </w:p>
    <w:p>
      <w:pPr>
        <w:pStyle w:val="TextBody"/>
        <w:bidi w:val="0"/>
        <w:spacing w:lineRule="auto" w:line="288" w:before="120" w:after="283"/>
        <w:jc w:val="both"/>
        <w:rPr/>
      </w:pPr>
      <w:r>
        <w:rPr>
          <w:rFonts w:ascii="Times New Roman;serif" w:hAnsi="Times New Roman;serif"/>
          <w:b w:val="false"/>
          <w:color w:val="000000"/>
          <w:sz w:val="20"/>
        </w:rPr>
        <w:t xml:space="preserve">Because both the Company and Southwest Gas operate as a single reportable segment, the related disclosure information is presented in the applicable sections. The other significant amounts required for disclosure are included within income (loss) from continuing operations and net income. Revenues from external customers are reported as “Revenues from contracts with customers” in </w:t>
      </w:r>
      <w:r>
        <w:rPr>
          <w:rFonts w:ascii="Times New Roman;serif" w:hAnsi="Times New Roman;serif"/>
          <w:b/>
          <w:color w:val="000000"/>
          <w:sz w:val="20"/>
        </w:rPr>
        <w:t xml:space="preserve">Note 3 – Revenues </w:t>
      </w:r>
      <w:r>
        <w:rPr>
          <w:rFonts w:ascii="Times New Roman;serif" w:hAnsi="Times New Roman;serif"/>
          <w:b w:val="false"/>
          <w:color w:val="000000"/>
          <w:sz w:val="20"/>
        </w:rPr>
        <w:t>for the three months and six months ended June 30, 2026, and June 30, 2025. Capital expenditures for the three-months ended June 30, 2026 and June 30, 2025 were $320.4 million and $199.3 million, respectively, and for the six-months ended June 30, 2026 and June 30, 2025 were $529.1 million and $362.5 million, respectively. The measures of assets for the Company and Southwest Gas are reported as “Total assets” on their respective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notes thereto of Southwest Gas and the Company included in our 2025 Annual Report on Form 10-K for the fiscal year ended December 31, 2025.</w:t>
      </w:r>
    </w:p>
    <w:p>
      <w:pPr>
        <w:pStyle w:val="TextBody"/>
        <w:bidi w:val="0"/>
        <w:spacing w:lineRule="auto" w:line="288" w:before="120" w:after="283"/>
        <w:jc w:val="both"/>
        <w:rPr/>
      </w:pPr>
      <w:r>
        <w:rPr>
          <w:rFonts w:ascii="Times New Roman;serif" w:hAnsi="Times New Roman;serif"/>
          <w:b w:val="false"/>
          <w:i/>
          <w:color w:val="000000"/>
          <w:sz w:val="20"/>
        </w:rPr>
        <w:t>Other Property and Investments.</w:t>
      </w:r>
      <w:r>
        <w:rPr>
          <w:color w:val="000000"/>
        </w:rPr>
        <w:t xml:space="preserve"> </w:t>
      </w:r>
      <w:r>
        <w:rPr>
          <w:rFonts w:ascii="Times New Roman;serif" w:hAnsi="Times New Roman;serif"/>
          <w:b w:val="false"/>
          <w:color w:val="000000"/>
          <w:sz w:val="20"/>
        </w:rPr>
        <w:t>Other property and investments on Southwest Gas’ and the Company’s Condensed Consolidated Balance Sheets includes:</w:t>
      </w:r>
    </w:p>
    <w:tbl>
      <w:tblPr>
        <w:tblW w:w="6794" w:type="dxa"/>
        <w:jc w:val="left"/>
        <w:tblInd w:w="0" w:type="dxa"/>
        <w:tblLayout w:type="fixed"/>
        <w:tblCellMar>
          <w:top w:w="28" w:type="dxa"/>
          <w:left w:w="28" w:type="dxa"/>
          <w:bottom w:w="28" w:type="dxa"/>
          <w:right w:w="28" w:type="dxa"/>
        </w:tblCellMar>
      </w:tblPr>
      <w:tblGrid>
        <w:gridCol w:w="1266"/>
        <w:gridCol w:w="1111"/>
        <w:gridCol w:w="1118"/>
        <w:gridCol w:w="229"/>
        <w:gridCol w:w="898"/>
        <w:gridCol w:w="119"/>
        <w:gridCol w:w="109"/>
        <w:gridCol w:w="109"/>
        <w:gridCol w:w="109"/>
        <w:gridCol w:w="305"/>
        <w:gridCol w:w="1197"/>
        <w:gridCol w:w="22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surrender value of COLI policies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Southwest Gas Corporation</w:t>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171,190 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169,947 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Southwest Gas Holdings, Inc.</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178,826 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Materials, supplies, and gas inventories.</w:t>
      </w:r>
      <w:r>
        <w:rPr>
          <w:color w:val="000000"/>
        </w:rPr>
        <w:t xml:space="preserve"> </w:t>
      </w:r>
      <w:r>
        <w:rPr>
          <w:rFonts w:ascii="Times New Roman;serif" w:hAnsi="Times New Roman;serif"/>
          <w:b w:val="false"/>
          <w:color w:val="000000"/>
          <w:sz w:val="20"/>
        </w:rPr>
        <w:t>Materials, supplies, and gas inventories f</w:t>
      </w:r>
      <w:r>
        <w:rPr>
          <w:rFonts w:ascii="Times New Roman;serif" w:hAnsi="Times New Roman;serif"/>
          <w:b w:val="false"/>
          <w:color w:val="000000"/>
          <w:sz w:val="20"/>
          <w:shd w:fill="FFFFFF" w:val="clear"/>
        </w:rPr>
        <w:t xml:space="preserve">or Southwest </w:t>
      </w:r>
      <w:r>
        <w:rPr>
          <w:rFonts w:ascii="Times New Roman;serif" w:hAnsi="Times New Roman;serif"/>
          <w:b w:val="false"/>
          <w:color w:val="000000"/>
          <w:sz w:val="20"/>
        </w:rPr>
        <w:t xml:space="preserve">Gas </w:t>
      </w:r>
      <w:r>
        <w:rPr>
          <w:rFonts w:ascii="Times New Roman;serif" w:hAnsi="Times New Roman;serif"/>
          <w:b w:val="false"/>
          <w:color w:val="000000"/>
          <w:sz w:val="20"/>
          <w:shd w:fill="FFFFFF" w:val="clear"/>
        </w:rPr>
        <w:t xml:space="preserve">and the Company </w:t>
      </w:r>
      <w:r>
        <w:rPr>
          <w:rFonts w:ascii="Times New Roman;serif" w:hAnsi="Times New Roman;serif"/>
          <w:b w:val="false"/>
          <w:color w:val="000000"/>
          <w:sz w:val="20"/>
        </w:rPr>
        <w:t xml:space="preserve">includes </w:t>
      </w:r>
      <w:r>
        <w:rPr>
          <w:rFonts w:ascii="Times New Roman;serif" w:hAnsi="Times New Roman;serif"/>
          <w:b w:val="false"/>
          <w:color w:val="000000"/>
          <w:sz w:val="20"/>
          <w:shd w:fill="FFFFFF" w:val="clear"/>
        </w:rPr>
        <w:t>gas pipe materials and operating</w:t>
      </w:r>
      <w:r>
        <w:rPr>
          <w:color w:val="000000"/>
        </w:rPr>
        <w:t xml:space="preserve"> </w:t>
      </w:r>
      <w:r>
        <w:rPr>
          <w:rFonts w:ascii="Times New Roman;serif" w:hAnsi="Times New Roman;serif"/>
          <w:b w:val="false"/>
          <w:color w:val="000000"/>
          <w:sz w:val="20"/>
        </w:rPr>
        <w:t>supplies of $80.6 million and $78.1 million as of June 30, 2026 and December 31, 2025, respectively (carried at weighted average cost).</w:t>
      </w:r>
    </w:p>
    <w:p>
      <w:pPr>
        <w:pStyle w:val="TextBody"/>
        <w:bidi w:val="0"/>
        <w:spacing w:lineRule="auto" w:line="288" w:before="120" w:after="283"/>
        <w:jc w:val="both"/>
        <w:rPr/>
      </w:pPr>
      <w:r>
        <w:rPr>
          <w:rFonts w:ascii="Times New Roman;serif" w:hAnsi="Times New Roman;serif"/>
          <w:b w:val="false"/>
          <w:i/>
          <w:color w:val="000000"/>
          <w:sz w:val="20"/>
        </w:rPr>
        <w:t xml:space="preserve">Prepaid and other current assets. </w:t>
      </w:r>
      <w:r>
        <w:rPr>
          <w:rFonts w:ascii="Times New Roman;serif" w:hAnsi="Times New Roman;serif"/>
          <w:b w:val="false"/>
          <w:color w:val="000000"/>
          <w:sz w:val="20"/>
        </w:rPr>
        <w:t>Prepaid and other current assets for the Company and Southwest Gas include, among other things, $125.2 million and $91.1 million related to a regulatory asset associated with the Arizona decoupling mechanism as of June 30, 2026 and December 31, 2025, respectively, and a regulatory asset associated with the margin tracker for Southern Nevada of $46.1 million and $28.5 million as of June 30, 2026 and December 31, 2025, respectively.</w:t>
      </w:r>
    </w:p>
    <w:p>
      <w:pPr>
        <w:pStyle w:val="TextBody"/>
        <w:bidi w:val="0"/>
        <w:spacing w:lineRule="auto" w:line="288" w:before="120" w:after="283"/>
        <w:jc w:val="both"/>
        <w:rPr/>
      </w:pPr>
      <w:r>
        <w:rPr>
          <w:rFonts w:ascii="Times New Roman;serif" w:hAnsi="Times New Roman;serif"/>
          <w:b w:val="false"/>
          <w:i/>
          <w:color w:val="000000"/>
          <w:sz w:val="20"/>
        </w:rPr>
        <w:t>Regulatory Operations</w:t>
      </w:r>
      <w:r>
        <w:rPr>
          <w:color w:val="000000"/>
        </w:rPr>
        <w:t xml:space="preserve"> </w:t>
      </w:r>
      <w:r>
        <w:rPr>
          <w:rFonts w:ascii="Times New Roman;serif" w:hAnsi="Times New Roman;serif"/>
          <w:b w:val="false"/>
          <w:color w:val="000000"/>
          <w:sz w:val="20"/>
        </w:rPr>
        <w:t>- Following CPUC approval of the All-Party Settlement and interim rates effective July 1, 2026, Southwest Gas recognized $20.2 million of operating revenue in the second quarter of 2026 related to the period from January 1, 2026 through June 30, 2026. Southwest Gas continues to await a final CPUC decision on cost of capital, which is expected in the third quarter of 2026.</w:t>
      </w:r>
    </w:p>
    <w:p>
      <w:pPr>
        <w:pStyle w:val="TextBody"/>
        <w:bidi w:val="0"/>
        <w:spacing w:lineRule="auto" w:line="288" w:before="120" w:after="283"/>
        <w:jc w:val="both"/>
        <w:rPr/>
      </w:pPr>
      <w:r>
        <w:rPr>
          <w:rFonts w:ascii="Times New Roman;serif" w:hAnsi="Times New Roman;serif"/>
          <w:b w:val="false"/>
          <w:i/>
          <w:color w:val="000000"/>
          <w:sz w:val="20"/>
        </w:rPr>
        <w:t xml:space="preserve">Deferred charges and other assets. </w:t>
      </w:r>
      <w:r>
        <w:rPr>
          <w:rFonts w:ascii="Times New Roman;serif" w:hAnsi="Times New Roman;serif"/>
          <w:b w:val="false"/>
          <w:color w:val="000000"/>
          <w:sz w:val="20"/>
        </w:rPr>
        <w:t>Deferred charges and other assets for Southwest Gas and the Company include, among other things, cloud-based software of $42.7 million and $33.9 million as of June 30, 2026 and December 31, 2025, respectively, and a regulatory asset associated with pension for Arizona, Nevada and California of $266.2 million as of June 30, 2026 and for Arizona and Nevada of $246.4 million as of December 31, 2025, respectively.</w:t>
      </w:r>
    </w:p>
    <w:p>
      <w:pPr>
        <w:pStyle w:val="TextBody"/>
        <w:bidi w:val="0"/>
        <w:spacing w:lineRule="auto" w:line="288" w:before="120" w:after="283"/>
        <w:jc w:val="both"/>
        <w:rPr/>
      </w:pPr>
      <w:r>
        <w:rPr>
          <w:rFonts w:ascii="Times New Roman;serif" w:hAnsi="Times New Roman;serif"/>
          <w:b w:val="false"/>
          <w:i/>
          <w:color w:val="000000"/>
          <w:sz w:val="20"/>
        </w:rPr>
        <w:t xml:space="preserve">Accrued general taxes. </w:t>
      </w:r>
      <w:r>
        <w:rPr>
          <w:rFonts w:ascii="Times New Roman;serif" w:hAnsi="Times New Roman;serif"/>
          <w:b w:val="false"/>
          <w:color w:val="000000"/>
          <w:sz w:val="20"/>
        </w:rPr>
        <w:t>Accrued general taxes for the Company and Southwest Gas include, among other things, $30.7 million and $27.1 million related to property taxes accrued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i/>
          <w:color w:val="000000"/>
          <w:sz w:val="20"/>
        </w:rPr>
        <w:t>Other Income (Deductions).</w:t>
      </w:r>
      <w:r>
        <w:rPr>
          <w:color w:val="000000"/>
        </w:rPr>
        <w:t xml:space="preserve"> </w:t>
      </w:r>
      <w:r>
        <w:rPr>
          <w:rFonts w:ascii="Times New Roman;serif" w:hAnsi="Times New Roman;serif"/>
          <w:b w:val="false"/>
          <w:color w:val="000000"/>
          <w:sz w:val="20"/>
        </w:rPr>
        <w:t>The following table provides the composition of significant items included in Other income (deductions) in Southwest Gas’ and the Company’s Condensed Consolidated Statements of Income:</w:t>
      </w:r>
    </w:p>
    <w:tbl>
      <w:tblPr>
        <w:tblW w:w="10205" w:type="dxa"/>
        <w:jc w:val="left"/>
        <w:tblInd w:w="0" w:type="dxa"/>
        <w:tblLayout w:type="fixed"/>
        <w:tblCellMar>
          <w:top w:w="28" w:type="dxa"/>
          <w:left w:w="28" w:type="dxa"/>
          <w:bottom w:w="28" w:type="dxa"/>
          <w:right w:w="28" w:type="dxa"/>
        </w:tblCellMar>
      </w:tblPr>
      <w:tblGrid>
        <w:gridCol w:w="1886"/>
        <w:gridCol w:w="1522"/>
        <w:gridCol w:w="1498"/>
        <w:gridCol w:w="220"/>
        <w:gridCol w:w="753"/>
        <w:gridCol w:w="113"/>
        <w:gridCol w:w="113"/>
        <w:gridCol w:w="113"/>
        <w:gridCol w:w="113"/>
        <w:gridCol w:w="220"/>
        <w:gridCol w:w="753"/>
        <w:gridCol w:w="113"/>
        <w:gridCol w:w="109"/>
        <w:gridCol w:w="109"/>
        <w:gridCol w:w="109"/>
        <w:gridCol w:w="211"/>
        <w:gridCol w:w="721"/>
        <w:gridCol w:w="109"/>
        <w:gridCol w:w="109"/>
        <w:gridCol w:w="109"/>
        <w:gridCol w:w="109"/>
        <w:gridCol w:w="211"/>
        <w:gridCol w:w="721"/>
        <w:gridCol w:w="161"/>
      </w:tblGrid>
      <w:tr>
        <w:trPr/>
        <w:tc>
          <w:tcPr>
            <w:tcW w:w="188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906"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Corporation: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COLI policies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AFUDC</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net periodic benefit gain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and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Corporation - total other income (deductions)</w:t>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 of unconsolidated investments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and (expense)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 – total other income (deductions)</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Interest income for Southwest Gas relates to interest income earned on money market investments and interest income earned on Southwest Gas’ regulatory asset balances, including the Arizona decoupling mechanism. Interest income is earned on regulatory asset balances and interest expense is incurred on regulatory liability balances. Interest income for Southwest Gas Holdings, Inc. relates to interest income earned on money market investments. Refer also to </w:t>
      </w:r>
      <w:r>
        <w:rPr>
          <w:rFonts w:ascii="Times New Roman;serif" w:hAnsi="Times New Roman;serif"/>
          <w:b/>
          <w:color w:val="000000"/>
          <w:sz w:val="20"/>
        </w:rPr>
        <w:t xml:space="preserve">Note 5 – Components of Net Periodic Benefit Cost </w:t>
      </w:r>
      <w:r>
        <w:rPr>
          <w:rFonts w:ascii="Times New Roman;serif" w:hAnsi="Times New Roman;serif"/>
          <w:b w:val="false"/>
          <w:color w:val="000000"/>
          <w:sz w:val="20"/>
        </w:rPr>
        <w:t>for details regarding Other components of net periodic benefit cost.</w:t>
      </w:r>
    </w:p>
    <w:p>
      <w:pPr>
        <w:pStyle w:val="TextBody"/>
        <w:bidi w:val="0"/>
        <w:spacing w:lineRule="auto" w:line="288" w:before="120" w:after="283"/>
        <w:jc w:val="both"/>
        <w:rPr/>
      </w:pPr>
      <w:r>
        <w:rPr>
          <w:rFonts w:ascii="Times New Roman;serif" w:hAnsi="Times New Roman;serif"/>
          <w:b w:val="false"/>
          <w:i/>
          <w:color w:val="000000"/>
          <w:sz w:val="20"/>
        </w:rPr>
        <w:t xml:space="preserve">EPS. </w:t>
      </w:r>
      <w:r>
        <w:rPr>
          <w:rFonts w:ascii="Times New Roman;serif" w:hAnsi="Times New Roman;serif"/>
          <w:b w:val="false"/>
          <w:color w:val="000000"/>
          <w:sz w:val="20"/>
        </w:rPr>
        <w:t>Basic EPS in each period of this report were calculated by dividing net income attributable to the Company by the weighted-average number of shares during those periods. Diluted EPS includes additional weighted-average common stock equivalents (performance stock units and restricted stock units). Unless otherwise noted, the term EPS refers to Basic EPS. A reconciliation of the denominator used in Basic and Diluted EPS calculations is shown in the following table:</w:t>
      </w:r>
    </w:p>
    <w:tbl>
      <w:tblPr>
        <w:tblW w:w="8747" w:type="dxa"/>
        <w:jc w:val="left"/>
        <w:tblInd w:w="0" w:type="dxa"/>
        <w:tblLayout w:type="fixed"/>
        <w:tblCellMar>
          <w:top w:w="28" w:type="dxa"/>
          <w:left w:w="28" w:type="dxa"/>
          <w:bottom w:w="28" w:type="dxa"/>
          <w:right w:w="28" w:type="dxa"/>
        </w:tblCellMar>
      </w:tblPr>
      <w:tblGrid>
        <w:gridCol w:w="998"/>
        <w:gridCol w:w="879"/>
        <w:gridCol w:w="883"/>
        <w:gridCol w:w="109"/>
        <w:gridCol w:w="109"/>
        <w:gridCol w:w="109"/>
        <w:gridCol w:w="485"/>
        <w:gridCol w:w="281"/>
        <w:gridCol w:w="281"/>
        <w:gridCol w:w="281"/>
        <w:gridCol w:w="281"/>
        <w:gridCol w:w="281"/>
        <w:gridCol w:w="485"/>
        <w:gridCol w:w="281"/>
        <w:gridCol w:w="281"/>
        <w:gridCol w:w="109"/>
        <w:gridCol w:w="109"/>
        <w:gridCol w:w="109"/>
        <w:gridCol w:w="360"/>
        <w:gridCol w:w="361"/>
        <w:gridCol w:w="176"/>
        <w:gridCol w:w="176"/>
        <w:gridCol w:w="176"/>
        <w:gridCol w:w="176"/>
        <w:gridCol w:w="360"/>
        <w:gridCol w:w="361"/>
        <w:gridCol w:w="250"/>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units</w:t>
            </w:r>
            <w:r>
              <w:rPr>
                <w:color w:val="000000"/>
              </w:rPr>
              <w:t xml:space="preserve">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72,665 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number of securities included 136,000 performance stock units during the three months ended June 30, 2026. During the six months ended June 30, 2026 and June 30, 2025, respectively, the number of securities included 121,000 and 124,000 performance stock units, the total of which was derived by assuming that target performance will be achieved during the relevant performance period.</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The number of anti-dilutive restricted stock units excluded from the calculation of diluted shares during the three months ended June 30, 2025 is 161,000. The number of anti-dilutive restricted stock units excluded from the calculation of diluted shares on discontinued operations during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8"/>
        </w:rPr>
        <w:t>months ended June 30, 2025 is 145,000.</w:t>
      </w:r>
    </w:p>
    <w:p>
      <w:pPr>
        <w:pStyle w:val="TextBody"/>
        <w:bidi w:val="0"/>
        <w:spacing w:lineRule="auto" w:line="288" w:before="120" w:after="283"/>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Company’s effective tax rate was 18.3% for the three months ended June 30, 2026, compared to 102.5% for the corresponding period in 2025. The lower effective tax rate was primarily due to a state income tax expense recognized in the prior year’s quarter related to a change in state apportionment rates that did not reoccur in the current quarter. This was partially offset by lower amortization of excess deferred income taxes. The Company’s effective tax rate was 23.6% for the six months ended June 30, 2026, compared to 32.4% for the corresponding period in 2025, primarily due to a state income tax expense recognized in the prior year’s period related to a change in state apportionment rates that did not reoccur in the current period. This was partially offset by lower amortization of excess deferred income taxes and lower nondeductible executive compensation in the current period when compared to the prior year’s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Southwest Gas’ effective tax rate was 18.1% for the three months ended June 30, 2026, compared to (18.8)% for the corresponding period in 2025. The higher effective tax rate was primarily due to a state income tax benefit recognized in the prior year’s quarter related to a change in state apportionment rates that did not reoccur in current quarter and lower amortization of excess deferred income taxes. Southwest Gas’ effective tax rate was 22.6% for the six months ended June 30, 2026, compared to 14.5% in the corresponding period in 2025 primarily due to a state income tax benefit recognized in the prior year’s period related to a change in state apportionment rates that did not reoccur in the current period. In addition, there were lower amortization of excess accumulated deferred income taxes and nondeductible executive compensation in the current period when compared to the prior year’s period. </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Standards Updates.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Recently issued accounting pronouncements that will be effective in 2026 and thereafter:</w:t>
      </w:r>
    </w:p>
    <w:p>
      <w:pPr>
        <w:pStyle w:val="TextBody"/>
        <w:bidi w:val="0"/>
        <w:spacing w:lineRule="auto" w:line="288" w:before="120" w:after="283"/>
        <w:jc w:val="both"/>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w:t>
      </w:r>
      <w:r>
        <w:rPr>
          <w:rFonts w:ascii="Times New Roman;serif" w:hAnsi="Times New Roman;serif"/>
          <w:b w:val="false"/>
          <w:color w:val="000000"/>
          <w:sz w:val="20"/>
          <w:shd w:fill="FFFFFF" w:val="clear"/>
        </w:rPr>
        <w:t xml:space="preserve">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w:t>
      </w:r>
      <w:r>
        <w:rPr>
          <w:rFonts w:ascii="Times New Roman;serif" w:hAnsi="Times New Roman;serif"/>
          <w:b w:val="false"/>
          <w:color w:val="000000"/>
          <w:sz w:val="20"/>
        </w:rPr>
        <w:t>Gas</w:t>
      </w:r>
      <w:r>
        <w:rPr>
          <w:color w:val="000000"/>
          <w:shd w:fill="FFFFFF" w:val="clear"/>
        </w:rPr>
        <w:t xml:space="preserve">’ </w:t>
      </w:r>
      <w:r>
        <w:rPr>
          <w:rFonts w:ascii="Times New Roman;serif" w:hAnsi="Times New Roman;serif"/>
          <w:b w:val="false"/>
          <w:color w:val="000000"/>
          <w:sz w:val="20"/>
          <w:shd w:fill="FFFFFF" w:val="clear"/>
        </w:rPr>
        <w:t>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update improves the operability of the guidance by removing all references to software development project stages so that the guidance is neutral to different software development methods. The update is effective for annual periods beginning after December 15, 2027, including interim periods within those fiscal years; early adoption is permitted. Management is evaluating the impacts this update might have on the Company’s and Southwest Gas’ condensed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The update provides guidance for the recognition, measurement, presentation, and disclosure of environmental credits and environmental credit obligations. The update is effective for annual reporting periods beginning after December 15, 2027, including interim periods within those fiscal years; early adoption is permitted. The update should be applied on a retrospective basis through a cumulative-effect adjustment to the opening balance of retained earnings (or other appropriate components of equity or net assets) as of the beginning of the annual reporting period of adoption. Management is evaluating the impacts this update might have on the Company’s and Southwest Gas’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3 – Revenues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operating revenues, but not its Operating margin, are directly impacted by variability between comparative periods in the cost of natural gas procured for customers as these costs are incorporated in customer rates. When included in rates (for customers except those taking transportation-only service), these costs are passed through to customers generally dollar-for-dollar without markup. Operating margin is a non-GAAP financial measure and should be considered in addition to, not as a substitute for, measures of financial performance prepared in accordance with GAAP. Southwest Gas’ revenues overall, reflected on the Condensed Consolidated Statements of Income of both the Company and Southwest Gas, include revenue from contracts with customers, which is shown below disaggregated by customer type, in addition to other categories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9134" w:type="dxa"/>
        <w:jc w:val="left"/>
        <w:tblInd w:w="0" w:type="dxa"/>
        <w:tblLayout w:type="fixed"/>
        <w:tblCellMar>
          <w:top w:w="28" w:type="dxa"/>
          <w:left w:w="28" w:type="dxa"/>
          <w:bottom w:w="28" w:type="dxa"/>
          <w:right w:w="28" w:type="dxa"/>
        </w:tblCellMar>
      </w:tblPr>
      <w:tblGrid>
        <w:gridCol w:w="1223"/>
        <w:gridCol w:w="1072"/>
        <w:gridCol w:w="107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commercial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Alternative revenue program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Regulated operations revenues </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Amounts include late fees and other miscellaneous revenues, and may also include the impact of certain regulatory mechanisms. </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shd w:fill="FFFFFF" w:val="clear"/>
        </w:rPr>
        <w:t xml:space="preserve">The amounts for the six 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18"/>
          <w:shd w:fill="FFFFFF" w:val="clear"/>
        </w:rPr>
        <w:t xml:space="preserve">differ from Southwest Gas due to the revision discussed in </w:t>
      </w:r>
      <w:r>
        <w:rPr>
          <w:rFonts w:ascii="Times New Roman;serif" w:hAnsi="Times New Roman;serif"/>
          <w:b/>
          <w:color w:val="000000"/>
          <w:sz w:val="18"/>
        </w:rPr>
        <w:t>Note 6 - Previously Issued Condensed Consolidated Financial Statement</w:t>
      </w:r>
      <w:r>
        <w:rPr>
          <w:rFonts w:ascii="Times New Roman;serif" w:hAnsi="Times New Roman;serif"/>
          <w:b/>
          <w:color w:val="000000"/>
          <w:sz w:val="18"/>
          <w:shd w:fill="FFFFFF" w:val="clear"/>
        </w:rPr>
        <w:t>.</w:t>
      </w:r>
      <w:r>
        <w:rPr>
          <w:color w:val="000000"/>
          <w:shd w:fill="FFFFFF" w:val="clear"/>
        </w:rPr>
        <w:t xml:space="preserve"> </w:t>
      </w:r>
    </w:p>
    <w:p>
      <w:pPr>
        <w:pStyle w:val="TextBody"/>
        <w:bidi w:val="0"/>
        <w:spacing w:lineRule="auto" w:line="288" w:before="120" w:after="283"/>
        <w:jc w:val="both"/>
        <w:rPr/>
      </w:pPr>
      <w:r>
        <w:rPr>
          <w:rFonts w:ascii="Times New Roman;serif" w:hAnsi="Times New Roman;serif"/>
          <w:b w:val="false"/>
          <w:color w:val="000000"/>
          <w:sz w:val="18"/>
        </w:rPr>
        <w:t xml:space="preserve">As of </w:t>
      </w:r>
      <w:r>
        <w:rPr>
          <w:rFonts w:ascii="Times New Roman;serif" w:hAnsi="Times New Roman;serif"/>
          <w:b w:val="false"/>
          <w:color w:val="000000"/>
          <w:sz w:val="20"/>
        </w:rPr>
        <w:t>June 30, 2026, the Company and Southwest had backlog performance obligations through Great Basin, excluding intercompany transactions, totaling $50.1 million through August 31, 2029. Of the current backlog, $7.8 million is expected to be fulfilled within the year ended December 31, 2026, $15.9 million within the year ended December 31, 2027, $15.9 million within the year ended December 31, 2028, and $10.5 million within the year ended December 31, 2029. Under the terms of Great Basin’s current settlement agreement, new rates will become effective no later than September 1, 2029. Accordingly, the Company and Southwest Gas are unable to reasonably estimate performance obligations that may arise beyond September 1, 2029. The backlog consists of firm customer contracts for natural gas transportation services. The current backlog does not reflect any contracts or commitments associated with the Great Basin 2028 expansion project. Seasonal fluctuation may impact the timing of fulfillment as demand for natural gas typically increases during winter months. The Company defines backlog as the aggregate value of signed contracts for which performance obligations remain unsatisfied.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7"/>
        <w:gridCol w:w="1296"/>
        <w:gridCol w:w="1304"/>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11"/>
        <w:gridCol w:w="721"/>
        <w:gridCol w:w="155"/>
      </w:tblGrid>
      <w:tr>
        <w:trPr/>
        <w:tc>
          <w:tcPr>
            <w:tcW w:w="15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 and Southwest Gas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 Series, due August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Medium-term notes, 7.92% series, due 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Medium-term notes, 6.76% series, due 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5.8%, due 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3.7%,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5.45%,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2.2%, due 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4.05%, due March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6.1%, due February 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4.875%, due October 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3.8%, due September 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4.15%, due June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3.18%, due August 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development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Tax-exempt Series A, due 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2003 Series A, due March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2008 Series A, due March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2009 Series A, due December 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Southwest Gas Holdings, Inc. and Southwest Gas Corporation total long-term debt, less current maturities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3,409,859 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has a $400.0 million revolving credit facility that is scheduled to expire in August 2029. Southwest Gas designates $150.0 million of associated capacity as long-term debt and the remaining $250.0 million for working capital purposes. In June 2025, Southwest Gas amended this revolving credit agreement, which among other things, added a swingline loan sub-facility in an aggregate principal amount at any time outstanding not to exceed $30.0 million and added a one-week interest period option with an interest rate equal to Daily Simple SOFR plus 0.03839% plus the applicable margin. Southwest Gas is also required to pay a commitment fee on the unfunded portion of the commitments which ranges from 0.075% to 0.200%. At June 30, 2026, the applicable margin was 1.125% for loans bearing interest with reference to SOFR and 0.125% for loans bearing interest with reference to the alternative base rate. At June 30, 2026, no borrowings were outstanding on the long-term portion (including under the commercial paper program), nor under the short-term portion of the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2026, Southwest Gas expanded its commercial paper program from $50 million to $100 million and entered into new dealer agreements in connection with the expanded program.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Short-Term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Southwest Gas Holdings has a $300.0 million revolving credit agreement that is scheduled to expire in August 2029. At June 30, 2026, the applicable margin is 1.125% for loans bearing interest to SOFR and 0.125% for loans bearing interest with reference to the alternative base.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contains a swingline loan sub-facility in an aggregate principal amount at any time outstanding not to exceed $30.0 million. At June 30, 2026, there were no borrowings outstanding under this credit facility. </w:t>
      </w:r>
    </w:p>
    <w:p>
      <w:pPr>
        <w:pStyle w:val="TextBody"/>
        <w:bidi w:val="0"/>
        <w:spacing w:lineRule="auto" w:line="26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indicated above in the Long-Term debt table, the 8% Series debenture for $75.0 million matured in August 2026 and was repaid on August 3, 2026, while the 7.92% Series Medium-Term Note for $25.0 million matures in June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interest rate of all short-term borrowings was 8.92% at June 30, 2026 and 9.23%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5 – Components of Net Periodic Benefit Cost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Southwest Gas' net periodic benefit cost for its QRP, SERP, and PBOP for the three and six months ended June 30, 2026 and 2025 are presented in the following tables.</w:t>
      </w:r>
    </w:p>
    <w:tbl>
      <w:tblPr>
        <w:tblW w:w="10205" w:type="dxa"/>
        <w:jc w:val="left"/>
        <w:tblInd w:w="0" w:type="dxa"/>
        <w:tblLayout w:type="fixed"/>
        <w:tblCellMar>
          <w:top w:w="28" w:type="dxa"/>
          <w:left w:w="28" w:type="dxa"/>
          <w:bottom w:w="28" w:type="dxa"/>
          <w:right w:w="28" w:type="dxa"/>
        </w:tblCellMar>
      </w:tblPr>
      <w:tblGrid>
        <w:gridCol w:w="1093"/>
        <w:gridCol w:w="939"/>
        <w:gridCol w:w="944"/>
        <w:gridCol w:w="211"/>
        <w:gridCol w:w="721"/>
        <w:gridCol w:w="109"/>
        <w:gridCol w:w="109"/>
        <w:gridCol w:w="109"/>
        <w:gridCol w:w="109"/>
        <w:gridCol w:w="211"/>
        <w:gridCol w:w="616"/>
        <w:gridCol w:w="109"/>
        <w:gridCol w:w="109"/>
        <w:gridCol w:w="109"/>
        <w:gridCol w:w="109"/>
        <w:gridCol w:w="214"/>
        <w:gridCol w:w="473"/>
        <w:gridCol w:w="109"/>
        <w:gridCol w:w="109"/>
        <w:gridCol w:w="109"/>
        <w:gridCol w:w="109"/>
        <w:gridCol w:w="211"/>
        <w:gridCol w:w="721"/>
        <w:gridCol w:w="109"/>
        <w:gridCol w:w="109"/>
        <w:gridCol w:w="109"/>
        <w:gridCol w:w="109"/>
        <w:gridCol w:w="211"/>
        <w:gridCol w:w="616"/>
        <w:gridCol w:w="109"/>
        <w:gridCol w:w="109"/>
        <w:gridCol w:w="109"/>
        <w:gridCol w:w="109"/>
        <w:gridCol w:w="214"/>
        <w:gridCol w:w="473"/>
        <w:gridCol w:w="157"/>
      </w:tblGrid>
      <w:tr>
        <w:trPr/>
        <w:tc>
          <w:tcPr>
            <w:tcW w:w="109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PBOP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PBOP</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PBOP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SERP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PBOP</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6 - Previously Issued Condensed Consolidated Financial Statements</w:t>
      </w:r>
    </w:p>
    <w:p>
      <w:pPr>
        <w:pStyle w:val="TextBody"/>
        <w:bidi w:val="0"/>
        <w:spacing w:lineRule="auto" w:line="276"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 Restatement of Previously Issued Condensed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2025 Form 10-K, management identified errors in the calculation of estimated deferred income tax liabilities associated with state income taxes. The errors arose following the Company’s sale of shares of Centuri’s common stock in the second and third quarters of 2025, which resulted in the tax deconsolidation of Centuri. The errors occurred because the Company did not update estimated future state apportionment rates following the Company’s sale of 13,207,142 shares of Centuri common stock on May 22, 2025, which resulted in income tax deconsolidation for Arizona, and subsequently following the Company's sale of 18,823,500 shares of Centuri common stock on August 11, 2025, which resulted in income tax deconsolidation for the remaining states, primarily California. As a result, income tax expense and net deferred income tax liabilities were understated by approximately $27.3 million as of and for the three and six months ended June 30, 2025.</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effects of the correction of the errors on the Condensed Consolidated Financial Statements are as follows:</w:t>
      </w:r>
    </w:p>
    <w:tbl>
      <w:tblPr>
        <w:tblW w:w="10205" w:type="dxa"/>
        <w:jc w:val="left"/>
        <w:tblInd w:w="0" w:type="dxa"/>
        <w:tblLayout w:type="fixed"/>
        <w:tblCellMar>
          <w:top w:w="28" w:type="dxa"/>
          <w:left w:w="28" w:type="dxa"/>
          <w:bottom w:w="28" w:type="dxa"/>
          <w:right w:w="28" w:type="dxa"/>
        </w:tblCellMar>
      </w:tblPr>
      <w:tblGrid>
        <w:gridCol w:w="1028"/>
        <w:gridCol w:w="894"/>
        <w:gridCol w:w="899"/>
        <w:gridCol w:w="211"/>
        <w:gridCol w:w="826"/>
        <w:gridCol w:w="109"/>
        <w:gridCol w:w="109"/>
        <w:gridCol w:w="109"/>
        <w:gridCol w:w="109"/>
        <w:gridCol w:w="224"/>
        <w:gridCol w:w="788"/>
        <w:gridCol w:w="118"/>
        <w:gridCol w:w="109"/>
        <w:gridCol w:w="109"/>
        <w:gridCol w:w="109"/>
        <w:gridCol w:w="211"/>
        <w:gridCol w:w="826"/>
        <w:gridCol w:w="109"/>
        <w:gridCol w:w="109"/>
        <w:gridCol w:w="109"/>
        <w:gridCol w:w="109"/>
        <w:gridCol w:w="266"/>
        <w:gridCol w:w="1125"/>
        <w:gridCol w:w="137"/>
        <w:gridCol w:w="109"/>
        <w:gridCol w:w="109"/>
        <w:gridCol w:w="109"/>
        <w:gridCol w:w="211"/>
        <w:gridCol w:w="757"/>
        <w:gridCol w:w="158"/>
      </w:tblGrid>
      <w:tr>
        <w:trPr/>
        <w:tc>
          <w:tcPr>
            <w:tcW w:w="10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7384" w:type="dxa"/>
            <w:gridSpan w:val="27"/>
            <w:tcBorders/>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Restated </w:t>
              <w:br/>
              <w:t>and Recast</w:t>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infrastructure services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(724,052)</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infrastructure services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(693,089)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(deductions)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income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Southwest Gas Holdings,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Southwest Gas Holdings, Inc.: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1"/>
        <w:gridCol w:w="790"/>
        <w:gridCol w:w="795"/>
        <w:gridCol w:w="211"/>
        <w:gridCol w:w="976"/>
        <w:gridCol w:w="109"/>
        <w:gridCol w:w="109"/>
        <w:gridCol w:w="109"/>
        <w:gridCol w:w="109"/>
        <w:gridCol w:w="224"/>
        <w:gridCol w:w="787"/>
        <w:gridCol w:w="118"/>
        <w:gridCol w:w="109"/>
        <w:gridCol w:w="109"/>
        <w:gridCol w:w="109"/>
        <w:gridCol w:w="211"/>
        <w:gridCol w:w="976"/>
        <w:gridCol w:w="109"/>
        <w:gridCol w:w="109"/>
        <w:gridCol w:w="109"/>
        <w:gridCol w:w="109"/>
        <w:gridCol w:w="243"/>
        <w:gridCol w:w="1172"/>
        <w:gridCol w:w="125"/>
        <w:gridCol w:w="109"/>
        <w:gridCol w:w="109"/>
        <w:gridCol w:w="109"/>
        <w:gridCol w:w="224"/>
        <w:gridCol w:w="756"/>
        <w:gridCol w:w="160"/>
      </w:tblGrid>
      <w:tr>
        <w:trPr/>
        <w:tc>
          <w:tcPr>
            <w:tcW w:w="9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Restated </w:t>
              <w:br/>
              <w:t>and Recast</w:t>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infrastructure services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(1,274,133)</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infrastructure services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(deductions)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Southwest Gas Holdings,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Southwest Gas Holdings, Inc.: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 basic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0"/>
        <w:gridCol w:w="658"/>
        <w:gridCol w:w="545"/>
        <w:gridCol w:w="211"/>
        <w:gridCol w:w="743"/>
        <w:gridCol w:w="109"/>
        <w:gridCol w:w="109"/>
        <w:gridCol w:w="109"/>
        <w:gridCol w:w="109"/>
        <w:gridCol w:w="224"/>
        <w:gridCol w:w="785"/>
        <w:gridCol w:w="118"/>
        <w:gridCol w:w="109"/>
        <w:gridCol w:w="109"/>
        <w:gridCol w:w="109"/>
        <w:gridCol w:w="211"/>
        <w:gridCol w:w="743"/>
        <w:gridCol w:w="109"/>
        <w:gridCol w:w="109"/>
        <w:gridCol w:w="109"/>
        <w:gridCol w:w="109"/>
        <w:gridCol w:w="211"/>
        <w:gridCol w:w="826"/>
        <w:gridCol w:w="109"/>
        <w:gridCol w:w="109"/>
        <w:gridCol w:w="109"/>
        <w:gridCol w:w="109"/>
        <w:gridCol w:w="224"/>
        <w:gridCol w:w="785"/>
        <w:gridCol w:w="118"/>
        <w:gridCol w:w="109"/>
        <w:gridCol w:w="109"/>
        <w:gridCol w:w="109"/>
        <w:gridCol w:w="211"/>
        <w:gridCol w:w="722"/>
        <w:gridCol w:w="15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Southwest Gas Holdings,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27"/>
        <w:gridCol w:w="954"/>
        <w:gridCol w:w="959"/>
        <w:gridCol w:w="215"/>
        <w:gridCol w:w="736"/>
        <w:gridCol w:w="111"/>
        <w:gridCol w:w="109"/>
        <w:gridCol w:w="109"/>
        <w:gridCol w:w="109"/>
        <w:gridCol w:w="224"/>
        <w:gridCol w:w="787"/>
        <w:gridCol w:w="118"/>
        <w:gridCol w:w="109"/>
        <w:gridCol w:w="109"/>
        <w:gridCol w:w="109"/>
        <w:gridCol w:w="212"/>
        <w:gridCol w:w="726"/>
        <w:gridCol w:w="109"/>
        <w:gridCol w:w="109"/>
        <w:gridCol w:w="109"/>
        <w:gridCol w:w="109"/>
        <w:gridCol w:w="437"/>
        <w:gridCol w:w="840"/>
        <w:gridCol w:w="226"/>
        <w:gridCol w:w="109"/>
        <w:gridCol w:w="109"/>
        <w:gridCol w:w="109"/>
        <w:gridCol w:w="215"/>
        <w:gridCol w:w="736"/>
        <w:gridCol w:w="165"/>
      </w:tblGrid>
      <w:tr>
        <w:trPr/>
        <w:tc>
          <w:tcPr>
            <w:tcW w:w="11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Restated </w:t>
              <w:br/>
              <w:t>and Recast</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from discontinued operations, net of income tax</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net of income tax</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 of property and equipment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liabilities: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charges and other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liabilities and deferred credits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discontinued operations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5"/>
        <w:gridCol w:w="1048"/>
        <w:gridCol w:w="1051"/>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52"/>
        <w:gridCol w:w="109"/>
        <w:gridCol w:w="109"/>
        <w:gridCol w:w="109"/>
        <w:gridCol w:w="109"/>
        <w:gridCol w:w="211"/>
        <w:gridCol w:w="826"/>
        <w:gridCol w:w="156"/>
      </w:tblGrid>
      <w:tr>
        <w:trPr/>
        <w:tc>
          <w:tcPr>
            <w:tcW w:w="151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property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remittance – 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Centuri stock,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principal 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 -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 -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(received), net -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(received), net -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 -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of capital expenditures in Accounts payable or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4"/>
        <w:gridCol w:w="1795"/>
        <w:gridCol w:w="1806"/>
        <w:gridCol w:w="217"/>
        <w:gridCol w:w="1009"/>
        <w:gridCol w:w="112"/>
        <w:gridCol w:w="112"/>
        <w:gridCol w:w="112"/>
        <w:gridCol w:w="112"/>
        <w:gridCol w:w="221"/>
        <w:gridCol w:w="823"/>
        <w:gridCol w:w="112"/>
        <w:gridCol w:w="112"/>
        <w:gridCol w:w="112"/>
        <w:gridCol w:w="112"/>
        <w:gridCol w:w="217"/>
        <w:gridCol w:w="1009"/>
        <w:gridCol w:w="168"/>
      </w:tblGrid>
      <w:tr>
        <w:trPr/>
        <w:tc>
          <w:tcPr>
            <w:tcW w:w="204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64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Restated</w:t>
            </w:r>
          </w:p>
        </w:tc>
      </w:tr>
      <w:tr>
        <w:trPr/>
        <w:tc>
          <w:tcPr>
            <w:tcW w:w="5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Southwest Gas Holdings, Inc., for the three months ended June 30, 2025</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June 30, 2025</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Southwest Gas Holdings, Inc., June 30, 2025</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3,647,386 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June 30, 2025</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4,088,534 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 – Revision of Previously Issued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Company’s 2025 Form 10-K for Southwest Gas, management identified errors in the calculation of the estimated deferred income tax liabilities associated with state income taxes. The issues result from not timely updating estimated apportionment rates to reflect certain events. For Southwest Gas, the errors date back to the formation of Southwest Gas Holdings in 2017, when Southwest Gas and Centuri became wholly-owned subsidiaries of Southwest Gas Holdings. These errors were determined to be not material to any previously issued Southwest Gas financial statements. However, Southwest Gas revised the historical financial statements due to the magnitude of the cumulative effect of the prior year errors. Southwest Gas also revised the historical financial statements to correct other previously identified immaterial errors.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the correction of the errors on the Condensed Consolidated Financial Statements are as follows:</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502"/>
        <w:gridCol w:w="442"/>
        <w:gridCol w:w="444"/>
        <w:gridCol w:w="211"/>
        <w:gridCol w:w="826"/>
        <w:gridCol w:w="109"/>
        <w:gridCol w:w="109"/>
        <w:gridCol w:w="109"/>
        <w:gridCol w:w="109"/>
        <w:gridCol w:w="228"/>
        <w:gridCol w:w="779"/>
        <w:gridCol w:w="119"/>
        <w:gridCol w:w="109"/>
        <w:gridCol w:w="109"/>
        <w:gridCol w:w="109"/>
        <w:gridCol w:w="211"/>
        <w:gridCol w:w="826"/>
        <w:gridCol w:w="109"/>
        <w:gridCol w:w="109"/>
        <w:gridCol w:w="109"/>
        <w:gridCol w:w="109"/>
        <w:gridCol w:w="211"/>
        <w:gridCol w:w="976"/>
        <w:gridCol w:w="109"/>
        <w:gridCol w:w="109"/>
        <w:gridCol w:w="109"/>
        <w:gridCol w:w="109"/>
        <w:gridCol w:w="228"/>
        <w:gridCol w:w="779"/>
        <w:gridCol w:w="119"/>
        <w:gridCol w:w="109"/>
        <w:gridCol w:w="109"/>
        <w:gridCol w:w="109"/>
        <w:gridCol w:w="211"/>
        <w:gridCol w:w="976"/>
        <w:gridCol w:w="155"/>
      </w:tblGrid>
      <w:tr>
        <w:trPr/>
        <w:tc>
          <w:tcPr>
            <w:tcW w:w="5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587"/>
        <w:gridCol w:w="593"/>
        <w:gridCol w:w="220"/>
        <w:gridCol w:w="754"/>
        <w:gridCol w:w="113"/>
        <w:gridCol w:w="109"/>
        <w:gridCol w:w="109"/>
        <w:gridCol w:w="109"/>
        <w:gridCol w:w="228"/>
        <w:gridCol w:w="779"/>
        <w:gridCol w:w="119"/>
        <w:gridCol w:w="109"/>
        <w:gridCol w:w="109"/>
        <w:gridCol w:w="109"/>
        <w:gridCol w:w="211"/>
        <w:gridCol w:w="721"/>
        <w:gridCol w:w="109"/>
        <w:gridCol w:w="109"/>
        <w:gridCol w:w="109"/>
        <w:gridCol w:w="109"/>
        <w:gridCol w:w="211"/>
        <w:gridCol w:w="826"/>
        <w:gridCol w:w="109"/>
        <w:gridCol w:w="109"/>
        <w:gridCol w:w="109"/>
        <w:gridCol w:w="109"/>
        <w:gridCol w:w="228"/>
        <w:gridCol w:w="779"/>
        <w:gridCol w:w="119"/>
        <w:gridCol w:w="109"/>
        <w:gridCol w:w="109"/>
        <w:gridCol w:w="109"/>
        <w:gridCol w:w="211"/>
        <w:gridCol w:w="826"/>
        <w:gridCol w:w="158"/>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10"/>
        <w:gridCol w:w="1677"/>
        <w:gridCol w:w="1685"/>
        <w:gridCol w:w="256"/>
        <w:gridCol w:w="1006"/>
        <w:gridCol w:w="132"/>
        <w:gridCol w:w="132"/>
        <w:gridCol w:w="132"/>
        <w:gridCol w:w="132"/>
        <w:gridCol w:w="273"/>
        <w:gridCol w:w="884"/>
        <w:gridCol w:w="132"/>
        <w:gridCol w:w="132"/>
        <w:gridCol w:w="132"/>
        <w:gridCol w:w="132"/>
        <w:gridCol w:w="256"/>
        <w:gridCol w:w="1006"/>
        <w:gridCol w:w="196"/>
      </w:tblGrid>
      <w:tr>
        <w:trPr/>
        <w:tc>
          <w:tcPr>
            <w:tcW w:w="19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liabilities: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purchased gas costs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08" w:type="dxa"/>
        <w:jc w:val="left"/>
        <w:tblInd w:w="0" w:type="dxa"/>
        <w:tblLayout w:type="fixed"/>
        <w:tblCellMar>
          <w:top w:w="28" w:type="dxa"/>
          <w:left w:w="28" w:type="dxa"/>
          <w:bottom w:w="28" w:type="dxa"/>
          <w:right w:w="28" w:type="dxa"/>
        </w:tblCellMar>
      </w:tblPr>
      <w:tblGrid>
        <w:gridCol w:w="1851"/>
        <w:gridCol w:w="1624"/>
        <w:gridCol w:w="1639"/>
        <w:gridCol w:w="229"/>
        <w:gridCol w:w="1064"/>
        <w:gridCol w:w="118"/>
        <w:gridCol w:w="118"/>
        <w:gridCol w:w="118"/>
        <w:gridCol w:w="118"/>
        <w:gridCol w:w="229"/>
        <w:gridCol w:w="868"/>
        <w:gridCol w:w="118"/>
        <w:gridCol w:w="118"/>
        <w:gridCol w:w="118"/>
        <w:gridCol w:w="118"/>
        <w:gridCol w:w="229"/>
        <w:gridCol w:w="1064"/>
        <w:gridCol w:w="167"/>
      </w:tblGrid>
      <w:tr>
        <w:trPr/>
        <w:tc>
          <w:tcPr>
            <w:tcW w:w="185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 AND SUBSIDIARIES</w:t>
            </w:r>
          </w:p>
        </w:tc>
      </w:tr>
      <w:tr>
        <w:trPr/>
        <w:tc>
          <w:tcPr>
            <w:tcW w:w="99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w:t>
            </w:r>
          </w:p>
        </w:tc>
      </w:tr>
      <w:tr>
        <w:trPr/>
        <w:tc>
          <w:tcPr>
            <w:tcW w:w="99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9908"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Revised</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for the three months ended March 31, 2025</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142,942 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March 31, 2025</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March 31, 2025</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3,416,872 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3,380,149 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2025</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June 30, 2025</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June 30, 2025</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3,383,619 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Southwest Gas Holdings is a holding company that owns all of the shares of common stock of Southwest Gas. Until the deconsolidation of Centuri in August 2025, the Company’s businesses were managed within two separate reportable segments, our Natural Gas Distribution segment (Southwest Gas) and our Utility Infrastructure Services segment (Centuri). After the deconsolidation of Centuri in August 2025, our business is solely comprised of our Natural Gas Distribution segment.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pipeline integrity management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Southwest Gas had approximately 2,293,000 residential, commercial, industrial, and other natural gas customers, of which 1,231,000 customers were located in Arizona, 854,000 in Nevada, and 208,000 in California. Residential and small commercial customers represented over 99% of the total customer base. During the twelve months ended June 30, 2026, approximately 52% of Operating margin (Regulated operations revenues less the net cost of gas sold) was earned in Arizona, approximately 34% in Nevada, and approximately 14% in California. During this same period, Southwest Gas earned approximately 85% of its Operating margin from residential and small commercial customers, approximately 4% from other sales customers, and approximately 11% from transportation customers. These patterns are expected to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materially consistent for the foreseeable future subject to the ultimate outcome of the Great Basin 2028 expansion project. Refer to </w:t>
      </w:r>
      <w:r>
        <w:rPr>
          <w:rFonts w:ascii="Times New Roman;serif" w:hAnsi="Times New Roman;serif"/>
          <w:b w:val="false"/>
          <w:i/>
          <w:color w:val="000000"/>
          <w:sz w:val="20"/>
        </w:rPr>
        <w:t xml:space="preserve">Great Basin 2028 Expansion Project </w:t>
      </w:r>
      <w:r>
        <w:rPr>
          <w:rFonts w:ascii="Times New Roman;serif" w:hAnsi="Times New Roman;serif"/>
          <w:b w:val="false"/>
          <w:color w:val="000000"/>
          <w:sz w:val="20"/>
        </w:rPr>
        <w:t>discussion below</w:t>
      </w:r>
      <w:r>
        <w:rPr>
          <w:rFonts w:ascii="Times New Roman;serif" w:hAnsi="Times New Roman;serif"/>
          <w:b w:val="false"/>
          <w:i/>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generally the timing and amount of updated rates (to better align with Southwest Gas’ cost of service and capital investments, including impacts of infrastructure trackers) and customer growth. Public utility commission decisions on the amount and timing of relief may impact our earnings. Refer to the Summary Operating Results table below for a reconciliation of Utility gross margin to Operating margin, and refer to </w:t>
      </w:r>
      <w:r>
        <w:rPr>
          <w:rFonts w:ascii="Times New Roman;serif" w:hAnsi="Times New Roman;serif"/>
          <w:b w:val="false"/>
          <w:i/>
          <w:color w:val="000000"/>
          <w:sz w:val="20"/>
        </w:rPr>
        <w:t>Rates and Regulatory Proceedings,</w:t>
      </w:r>
      <w:r>
        <w:rPr>
          <w:color w:val="000000"/>
        </w:rPr>
        <w:t xml:space="preserve"> </w:t>
      </w:r>
      <w:r>
        <w:rPr>
          <w:rFonts w:ascii="Times New Roman;serif" w:hAnsi="Times New Roman;serif"/>
          <w:b w:val="false"/>
          <w:color w:val="000000"/>
          <w:sz w:val="20"/>
        </w:rPr>
        <w:t>below for details of various rate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Southwest Gas’ revenues and cost of gas sold can change depending on natural gas cost included in customer rates. These changes, however, do not directly affect the company’s profits, as regulatory commissions in the states in which Southwest Gas operates have set up mechanisms that allow Southwest Gas to adjust customer rates to reflect fluctuations in natural gas cost. </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If the actual cost of gas differs from what is recovered through customer rates, the difference is recorded as a deferred amount.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Southwest Gas has under-recovered costs, it records a regulatory asset on the Condensed Consolidated Balance Sheets as deferred purchase gas costs and interest income on the Condensed Consolidated Statements of Income within the Other income (deductions) line item.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Southwest Gas has over-recovered costs, it records a regulatory liability on the Condensed Consolidated Balance Sheets as deferred purchased gas costs and interest expense on the Condensed Consolidated Statements of Income within the Net interest deductions line item.</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These deferred amounts are either refunded to or recovered from customers during periods approved by the regulatory commissions. The rates are designed to be refunded or collected over a 12-month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Our business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2025, in addition to the Risk Factors included in these documents as may be updated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Executive Summary</w:t>
      </w:r>
    </w:p>
    <w:p>
      <w:pPr>
        <w:pStyle w:val="TextBody"/>
        <w:bidi w:val="0"/>
        <w:spacing w:lineRule="auto" w:line="288" w:before="120" w:after="283"/>
        <w:jc w:val="both"/>
        <w:rPr/>
      </w:pPr>
      <w:r>
        <w:rPr>
          <w:rFonts w:ascii="Times New Roman;serif" w:hAnsi="Times New Roman;serif"/>
          <w:b/>
          <w:color w:val="000000"/>
          <w:sz w:val="20"/>
        </w:rPr>
        <w:t>The items discussed in this Executive Summary are intended to provide an overview of the results of the Company’s and Southwest Gas’ operations and are covered in greater detail in later sections of this MD&amp;A.</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Summary Operating Results</w:t>
      </w:r>
    </w:p>
    <w:tbl>
      <w:tblPr>
        <w:tblW w:w="10205" w:type="dxa"/>
        <w:jc w:val="left"/>
        <w:tblInd w:w="0" w:type="dxa"/>
        <w:tblLayout w:type="fixed"/>
        <w:tblCellMar>
          <w:top w:w="28" w:type="dxa"/>
          <w:left w:w="28" w:type="dxa"/>
          <w:bottom w:w="28" w:type="dxa"/>
          <w:right w:w="28" w:type="dxa"/>
        </w:tblCellMar>
      </w:tblPr>
      <w:tblGrid>
        <w:gridCol w:w="1645"/>
        <w:gridCol w:w="1306"/>
        <w:gridCol w:w="13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4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Contribution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administrative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Southwest Gas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Natural Gas Distribution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Utility gross margin to Operating margin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(excluding Admin. &amp;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Southwest Gas Corporation</w:t>
            </w:r>
            <w:r>
              <w:rPr>
                <w:rFonts w:ascii="Times New Roman;serif" w:hAnsi="Times New Roman;serif"/>
                <w:b w:val="false"/>
                <w:color w:val="000000"/>
                <w:sz w:val="13"/>
                <w:u w:val="single"/>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Utility gross margin to Operating margin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(excluding Admin. &amp; General)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In connection with the deconsolidation of Centuri, certain amounts in Corporate and administrative that relate to the Centuri separation have been reclassified to discontinued operations for all periods presented as applicable. </w:t>
      </w:r>
    </w:p>
    <w:p>
      <w:pPr>
        <w:pStyle w:val="TextBody"/>
        <w:bidi w:val="0"/>
        <w:spacing w:lineRule="auto" w:line="288" w:before="20" w:after="283"/>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Historically, Southwest Gas Corporation’s operating results have corresponded to the operating results of the Natural Gas Distribution Segment. The amounts reported in the table above differ from the Natural Gas Distribution segment for the six months ended June 30, 2025 due to the revision described in our</w:t>
      </w:r>
      <w:r>
        <w:rPr>
          <w:color w:val="000000"/>
        </w:rPr>
        <w:t xml:space="preserve"> </w:t>
      </w:r>
      <w:r>
        <w:rPr>
          <w:rFonts w:ascii="Times New Roman;serif" w:hAnsi="Times New Roman;serif"/>
          <w:b w:val="false"/>
          <w:color w:val="000000"/>
          <w:sz w:val="18"/>
        </w:rPr>
        <w:t>2025</w:t>
      </w:r>
      <w:r>
        <w:rPr>
          <w:color w:val="000000"/>
        </w:rPr>
        <w:t xml:space="preserve"> </w:t>
      </w:r>
      <w:r>
        <w:rPr>
          <w:rFonts w:ascii="Times New Roman;serif" w:hAnsi="Times New Roman;serif"/>
          <w:b w:val="false"/>
          <w:color w:val="000000"/>
          <w:sz w:val="18"/>
        </w:rPr>
        <w:t>Annual Report on Form 10-K.</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20" w:after="283"/>
        <w:jc w:val="both"/>
        <w:rPr>
          <w:rFonts w:ascii="Times New Roman;serif" w:hAnsi="Times New Roman;serif"/>
          <w:b w:val="false"/>
          <w:i/>
          <w:color w:val="000000"/>
          <w:sz w:val="20"/>
        </w:rPr>
      </w:pPr>
      <w:r>
        <w:rPr>
          <w:rFonts w:ascii="Times New Roman;serif" w:hAnsi="Times New Roman;serif"/>
          <w:b w:val="false"/>
          <w:i/>
          <w:color w:val="000000"/>
          <w:sz w:val="20"/>
        </w:rPr>
        <w:t>2nd Quarter 2026 overview and other recent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Southwest Gas Holdings Inc.: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Finished the second quarter of 2026 with $270.5 million of Cash and cash equivalents on a consolidated basis and nearly $1.0 billion in available liquidity; the Company does not expect to issue equity in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Invested $211.5 million into Southwest Gas for capital projects.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Southwest Gas Corporation: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Year-to-date Utility gross margin of $457.3 million and Operating margin of $796.7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$506.9 million capital investment year-to-date.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 approved and Southwest Gas implemented its first SIM surcharge in June 2026, enabling recovery of eligible infrastructure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PUCN approved Southwest Gas' first triennial resource plan, supporting approximately $186 million in safety and infrastructure investments and future energy resource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California General Rate Case: Received CPUC approval for a $39.5 million revenue increase and final cost-of-capital decisions expected in the third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 Basin completed an open season in April 2026 for available capacity in its 2028 expansion project. Precedent Agreements were executed for 322,000 mcf per day for 2028, for a project total of 948,876 mcf per day. Great Basin received interest of an additional 1.8 billion cubic feet a day with requested in-service dates ranging from 2029 through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pPr>
      <w:r>
        <w:rPr>
          <w:rFonts w:ascii="Times New Roman;serif" w:hAnsi="Times New Roman;serif"/>
          <w:b w:val="false"/>
          <w:color w:val="212529"/>
          <w:sz w:val="20"/>
        </w:rPr>
        <w:t xml:space="preserve">Historically, the Natural Gas Distribution segment operating results have corresponded to the operating results of Southwest Gas Corporation. The amounts reported in the table below differ from Southwest Gas Corporation for the three months ended June 30, 2025 period due to the revision described in </w:t>
      </w:r>
      <w:r>
        <w:rPr>
          <w:rFonts w:ascii="Times New Roman;serif" w:hAnsi="Times New Roman;serif"/>
          <w:b/>
          <w:color w:val="212529"/>
          <w:sz w:val="20"/>
        </w:rPr>
        <w:t>Note 6 - Previously Issued Condensed Consolidated Financial Statement</w:t>
      </w:r>
      <w:r>
        <w:rPr>
          <w:rFonts w:ascii="Times New Roman;serif" w:hAnsi="Times New Roman;serif"/>
          <w:b w:val="false"/>
          <w:color w:val="212529"/>
          <w:sz w:val="2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Natural Gas Distribution Segment</w:t>
      </w:r>
    </w:p>
    <w:tbl>
      <w:tblPr>
        <w:tblW w:w="9222" w:type="dxa"/>
        <w:jc w:val="left"/>
        <w:tblInd w:w="0" w:type="dxa"/>
        <w:tblLayout w:type="fixed"/>
        <w:tblCellMar>
          <w:top w:w="28" w:type="dxa"/>
          <w:left w:w="28" w:type="dxa"/>
          <w:bottom w:w="28" w:type="dxa"/>
          <w:right w:w="28" w:type="dxa"/>
        </w:tblCellMar>
      </w:tblPr>
      <w:tblGrid>
        <w:gridCol w:w="1136"/>
        <w:gridCol w:w="996"/>
        <w:gridCol w:w="100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of gas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consolidated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decrease in net income of $4.9 million was primarily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$16.2 million higher Income tax expense primarily due to a $12.0 million state income tax benefit recognized in the prior year’s quarter related to a change in state apportionment rates that did not reoccur in the current quarter. The increase was also driven by higher pre-tax income differences and lower amortization of excess accumulated deferred income taxes in the current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$9.4 million lower Other income, which is net of other deductions, primarily driven by lower interest income earned on money market accounts of $2.7 million, lower net periodic benefit gain related to pension non-service components of $2.2 million, lower COLI policies gains of $1.9 million largely driven by lower market performance compared to the prior year’s quarter, and the absence of a prior year gain on the sale of certain miscellaneous assets of $1.6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contributions to the Southwest Gas Foundation were $1.6 million higher in the current period, primarily due to timing of the contributions as the 2025 contribution was made in 2024. These decreases were partially offset by an increase in Equity AFUDC of $0.9 million related to the commencement of the Great Basin 2028 expansion project.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$8.7 million, or 13%, higher Depreciation and amortization expense reflecting a $726.7 million, or 7%, increase in gas plant in service since the corresponding second quarter of 2025, in addition to $4.9 million in higher amortization related to regulatory account balances noted below. The increase in plant was attributable to pipeline capacity reinforcement work, franchise requirements, scheduled pipe replacement activities, and new infrastructure.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$25.5 million higher Operating margin primarily driven by updated rates that better align with Southwest Gas’ cost of service and capital investments across California adding approximately $19.5 million of incremental margin, the majority of which was attributable to the revenue recognized in connection with final approval of the All-Party Settlement, before adjustments to cost of capital, associated with the California general rate case, and $1.4 million attributable to customer growth for all territories. Also contributing to the increase was $4.9 million related to the combined impacts of increases in recovery/return, offset by a comparable increase in depreciation and amortization expense in regulatory account balances noted above.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$3.7 million lower Operations and maintenance expense primarily due to lower net insurance cost of $2.5 million, outside services costs of $1.7 million, and bad debt expense. These decreases were partially offset by increases in employee-related labor costs and leak survey and line locating expense.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 the six months ended June 30, 2026 compared to the same period in 2025,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net income of $10.1 million was primarily due to:</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$22.6 million higher Income tax expense due</w:t>
      </w:r>
      <w:r>
        <w:rPr>
          <w:color w:val="000000"/>
        </w:rPr>
        <w:t xml:space="preserve"> </w:t>
      </w:r>
      <w:r>
        <w:rPr>
          <w:rFonts w:ascii="Times New Roman;serif" w:hAnsi="Times New Roman;serif"/>
          <w:b w:val="false"/>
          <w:color w:val="000000"/>
          <w:sz w:val="20"/>
        </w:rPr>
        <w:t xml:space="preserve">to a </w:t>
      </w:r>
      <w:r>
        <w:rPr>
          <w:rFonts w:ascii="Times New Roman;serif" w:hAnsi="Times New Roman;serif"/>
          <w:b w:val="false"/>
          <w:color w:val="000000"/>
          <w:sz w:val="20"/>
          <w:shd w:fill="FFFFFF" w:val="clear"/>
        </w:rPr>
        <w:t xml:space="preserve">$12.0 million </w:t>
      </w:r>
      <w:r>
        <w:rPr>
          <w:rFonts w:ascii="Times New Roman;serif" w:hAnsi="Times New Roman;serif"/>
          <w:b w:val="false"/>
          <w:color w:val="000000"/>
          <w:sz w:val="20"/>
        </w:rPr>
        <w:t>state income tax benefit recognized in the prior year’s period related to a change in state apportionment rates that did not reoccur in the current period . The increase was also driven by higher pre-tax income differences, lower amortization of excess accumulated deferred income taxes, and lower nondeductible executive compensation in the current period when compared to the prior year’s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$14.7 million, or 9%, higher Depreciation and amortization expense reflecting a $726.7 million, or 7%, increase in gas plant in service since the corresponding period of 2025, in addition to $6.0 million in higher amortization related to regulatory account balances noted below. The increase in plant was attributable to pipeline capacity reinforcement work, franchise requirements, scheduled pipe replacement activities, and new infrastructure.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$13.0 million lower Other income, which is net of other deductions, primarily driven by lower interest income earned on money market accounts of $5.9 million, lower net periodic benefit gain related to pension non-service components of $4.3 million, the absence of a prior year gain on the sale of certain miscellaneous assets of $1.6 million, and higher contributions to the Southwest Gas Foundation of $1.9 million primarily due to timing differences as the 2025 contribution was made in 2024. These decreases were partially offset by an increase in Equity AFUDC of $1.6 million related to the commencement of the Great Basin 2028 expansion project.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$1.8 million higher Taxes other than income taxes due primarily to increase in property taxes across all of Southwest Gas’ jurisdictions.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$40.7 million higher Operating margin primarily driven by updated rates that better align with Southwest Gas’ cost of service and capital investments across all territories adding approximately $32.7 million of incremental margin, approximately $20.2 million of which was attributable to the revenue recognized in connection with final approval of the All-Party Settlement, before adjustments to cost of capital, associated with the California general rate case, and $4.5 million attributable to customer growth for all territories. Also contributing to the increase were $4.9 million attributable to nondecoupled billed margin across Arizona and Nevada and $6.0 million related to the combined impacts of increases in recovery/return, offset by a comparable increase in depreciation and amortization expense in regulatory account balances noted above. Partially offsetting the increase is $4.7 million attributable to the absence of recovery in the current period, as recovery under the Vintage Steel Pipeline Program was concluded during the first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$1.6 million lower Operations and maintenance expense primarily due to lower net insurance cost and bad debt expense. These decreases were partially offset by increases in employee-related labor costs, including incentive compensation costs, and leak survey and line locating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br/>
        <w:t>Corporate and Administrative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net income improved by $47.7 million compared to a net loss in the same period in 2025; the improvement was primarily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$36.7 million lower Income tax expense due a $39.2 million state income tax expense recognized in the prior year’s quarter related to a change in state apportionment rates that did not reoccur in the current quarter. The decrease was partially offset by higher pre-tax income differences in the current quarter when compared to the prior year’s quarter and changes to state net operating losses to reflect expected utilization.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$8.6 million lower Net interest deductions primarily driven by the repayment of the $550.0 million term loan in the summer of 2025 as well as the decrease in the balance that was previously outstanding on the revolving credit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$2.6 million higher Other income, which is net of other deductions, primarily driven by an increase in interest income earned on money market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net income improved by $57.0 million compared to a net loss in the same period in 2025; the improvement was primarily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$31.1 million lower Income tax expense due a $39.2 million to state income tax expense recognized in the prior year’s period related to a change in state apportionment rates that did not reoccur in the current period. The decrease was partially offset by higher pre-tax income differences in the current period when compared to the prior year’s period and changes to state net operating losses to reflect expected utilization.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$18.3 million lower Net interest deductions primarily driven by the repayment of the $550.0 million term loan in the summer of 2025 as well as the decrease in the balance that was previously outstanding on the revolving credit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$8.0 million higher Other income, which is net of other deductions, primarily driven by an increase in interest income earned on money market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120" w:after="283"/>
        <w:jc w:val="both"/>
        <w:rPr/>
      </w:pPr>
      <w:r>
        <w:rPr>
          <w:rFonts w:ascii="Times New Roman;serif" w:hAnsi="Times New Roman;serif"/>
          <w:b w:val="false"/>
          <w:color w:val="000000"/>
          <w:sz w:val="20"/>
        </w:rPr>
        <w:t xml:space="preserve">In the three months ended June 30, 2026, compared to the same period in 2025, the decrease in net loss of </w:t>
      </w:r>
      <w:r>
        <w:rPr>
          <w:rFonts w:ascii="Times New Roman;serif" w:hAnsi="Times New Roman;serif"/>
          <w:b w:val="false"/>
          <w:color w:val="000000"/>
          <w:sz w:val="20"/>
          <w:shd w:fill="FFFFFF" w:val="clear"/>
        </w:rPr>
        <w:t>$39.4 million</w:t>
      </w:r>
      <w:r>
        <w:rPr>
          <w:color w:val="000000"/>
        </w:rPr>
        <w:t xml:space="preserve"> </w:t>
      </w:r>
      <w:r>
        <w:rPr>
          <w:rFonts w:ascii="Times New Roman;serif" w:hAnsi="Times New Roman;serif"/>
          <w:b w:val="false"/>
          <w:color w:val="000000"/>
          <w:sz w:val="20"/>
        </w:rPr>
        <w:t>reflects the absence of Centuri’s operating results in the current period following the completion of its disposition, compared to a full quarter of Centuri’s results included in the prior year period.</w:t>
      </w:r>
    </w:p>
    <w:p>
      <w:pPr>
        <w:pStyle w:val="TextBody"/>
        <w:bidi w:val="0"/>
        <w:spacing w:lineRule="auto" w:line="288" w:before="120" w:after="283"/>
        <w:jc w:val="both"/>
        <w:rPr/>
      </w:pPr>
      <w:r>
        <w:rPr>
          <w:rFonts w:ascii="Times New Roman;serif" w:hAnsi="Times New Roman;serif"/>
          <w:b w:val="false"/>
          <w:color w:val="000000"/>
          <w:sz w:val="20"/>
        </w:rPr>
        <w:t xml:space="preserve">In the six months ended June 30, 2026, compared to the same period in 2025, the decrease in net loss of </w:t>
      </w:r>
      <w:r>
        <w:rPr>
          <w:rFonts w:ascii="Times New Roman;serif" w:hAnsi="Times New Roman;serif"/>
          <w:b w:val="false"/>
          <w:color w:val="000000"/>
          <w:sz w:val="20"/>
          <w:shd w:fill="FFFFFF" w:val="clear"/>
        </w:rPr>
        <w:t>$59.8 million</w:t>
      </w:r>
      <w:r>
        <w:rPr>
          <w:color w:val="000000"/>
        </w:rPr>
        <w:t xml:space="preserve"> </w:t>
      </w:r>
      <w:r>
        <w:rPr>
          <w:rFonts w:ascii="Times New Roman;serif" w:hAnsi="Times New Roman;serif"/>
          <w:b w:val="false"/>
          <w:color w:val="000000"/>
          <w:sz w:val="20"/>
        </w:rPr>
        <w:t>reflects the absence of Centuri’s operating results in the current period following the completion of its disposition, compared to a full six months of Centuri’s results included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Southwest Gas Corporation</w:t>
      </w:r>
    </w:p>
    <w:tbl>
      <w:tblPr>
        <w:tblW w:w="9222" w:type="dxa"/>
        <w:jc w:val="left"/>
        <w:tblInd w:w="0" w:type="dxa"/>
        <w:tblLayout w:type="fixed"/>
        <w:tblCellMar>
          <w:top w:w="28" w:type="dxa"/>
          <w:left w:w="28" w:type="dxa"/>
          <w:bottom w:w="28" w:type="dxa"/>
          <w:right w:w="28" w:type="dxa"/>
        </w:tblCellMar>
      </w:tblPr>
      <w:tblGrid>
        <w:gridCol w:w="1136"/>
        <w:gridCol w:w="996"/>
        <w:gridCol w:w="100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of gas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consolidated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compared to the same period in 2025, the decrease in net income of $4.9 million was consistent with the Natural Gas Distribution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compared to the same period in 2025, the decrease in net income of $9.7 million was consistent with the Natural Gas Distribution segment except for: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$38.6 million higher Operating margin consistent with the Natural Gas Distribution segment explanation combined with a decrease in Operating margin of $2.1 million due to revisions. See </w:t>
      </w:r>
      <w:r>
        <w:rPr>
          <w:rFonts w:ascii="Times New Roman;serif" w:hAnsi="Times New Roman;serif"/>
          <w:b/>
          <w:color w:val="000000"/>
          <w:sz w:val="20"/>
        </w:rPr>
        <w:t xml:space="preserve">Note 6 - Previously Issued Condensed Consolidated Financial Statement </w:t>
      </w:r>
      <w:r>
        <w:rPr>
          <w:rFonts w:ascii="Times New Roman;serif" w:hAnsi="Times New Roman;serif"/>
          <w:b w:val="false"/>
          <w:color w:val="000000"/>
          <w:sz w:val="20"/>
        </w:rPr>
        <w:t>for additional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$20.2 million higher Income tax expense consistent with the Natural Gas Distribution segment explanation combined with a decrease in income taxes of $2.4 million related to the prior year adjustments described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Rates and Regulatory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operates in a regulated environment across Arizona, Nevada, and California subject to the regulation of the ACC, the PUCN, and the CPUC, respectively, and through interstate pipeline operations at two of Southwest Gas’ subsidiaries that are subject to regulation by the FERC. Regulatory proceedings generally endeavor to allow for the timely recovery of infrastructure investments, reducing regulatory lag, and managing the cash</w:t>
        <w:noBreakHyphen/>
        <w:t>flow impacts of natural gas price volatility. While mechanisms vary by jurisdiction, they are generally designed to stabilize earnings and primarily affect the timing of cash flows, rather than long</w:t>
        <w:noBreakHyphen/>
        <w:t>term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Arizona Jurisdiction</w:t>
      </w:r>
    </w:p>
    <w:p>
      <w:pPr>
        <w:pStyle w:val="TextBody"/>
        <w:bidi w:val="0"/>
        <w:spacing w:lineRule="auto" w:line="288" w:before="120" w:after="283"/>
        <w:jc w:val="both"/>
        <w:rPr/>
      </w:pPr>
      <w:r>
        <w:rPr>
          <w:rFonts w:ascii="Times New Roman;serif" w:hAnsi="Times New Roman;serif"/>
          <w:b w:val="false"/>
          <w:i/>
          <w:color w:val="000000"/>
          <w:sz w:val="20"/>
        </w:rPr>
        <w:t>Arizona Overview.</w:t>
      </w:r>
      <w:r>
        <w:rPr>
          <w:color w:val="000000"/>
        </w:rPr>
        <w:t xml:space="preserve"> </w:t>
      </w:r>
      <w:r>
        <w:rPr>
          <w:rFonts w:ascii="Times New Roman;serif" w:hAnsi="Times New Roman;serif"/>
          <w:b w:val="false"/>
          <w:color w:val="000000"/>
          <w:sz w:val="20"/>
        </w:rPr>
        <w:t>Arizona is Southwest Gas’ largest contributor to Operating margin. Regulatory frameworks in the state emphasize decoupled rate design and targeted mechanisms that support infrastructure investment while reducing earnings volatility.</w:t>
      </w:r>
    </w:p>
    <w:p>
      <w:pPr>
        <w:pStyle w:val="TextBody"/>
        <w:bidi w:val="0"/>
        <w:spacing w:lineRule="auto" w:line="288" w:before="120" w:after="283"/>
        <w:jc w:val="both"/>
        <w:rPr/>
      </w:pPr>
      <w:r>
        <w:rPr>
          <w:rFonts w:ascii="Times New Roman;serif" w:hAnsi="Times New Roman;serif"/>
          <w:b w:val="false"/>
          <w:i/>
          <w:color w:val="000000"/>
          <w:sz w:val="20"/>
        </w:rPr>
        <w:t>Arizona General Rate Case.</w:t>
      </w:r>
      <w:r>
        <w:rPr>
          <w:color w:val="000000"/>
        </w:rPr>
        <w:t xml:space="preserve"> </w:t>
      </w:r>
      <w:r>
        <w:rPr>
          <w:rFonts w:ascii="Times New Roman;serif" w:hAnsi="Times New Roman;serif"/>
          <w:b w:val="false"/>
          <w:color w:val="000000"/>
          <w:sz w:val="20"/>
        </w:rPr>
        <w:t xml:space="preserve">On February 27, 2026, Southwest Gas filed a general rate case application seeking an increase of approximately $101.0 million, or 10.4%, of incremental annual revenues, to reflect infrastructure investments and operating costs through November 30, 2025, with a requested twelve-month post-test year adjustment for non-revenue producing plant. The filing requests a return on common equity of 10.25% and a fair value increment of 0.20% based on an actual equity layer of 50.08% and maintains Arizona’s existing decoupled rate design and existing basic service charges.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application also proposes a formula-based RAM, which is an annual adjustment intended to reduce regulatory lag by more closely aligning customer rates with authorized returns between rate cases. The proposed RAM contemplates an approved formula to adjust customer rates based on Southwest Gas’ earned return on common equity compared with its authorized return on common equity, subject to a Deadband. Approval of the RAM would eliminate the need for certain existing regulatory tracker mechanisms, including the TEAM and the SIM. New rates from this filing are expected to become effective by April 2027, subject to regulatory 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Existing rates are the result of Southwest Gas’ 2024 rate case application filed in February 2024. The ACC’s final decision was approved and implemented in March 2025, authorizing an overall annual rate increase of approximately $80.2 million and a return on common equity of 9.84% relative to a 48.5% equity ratio. </w:t>
      </w:r>
    </w:p>
    <w:p>
      <w:pPr>
        <w:pStyle w:val="TextBody"/>
        <w:bidi w:val="0"/>
        <w:spacing w:lineRule="auto" w:line="288" w:before="120" w:after="283"/>
        <w:jc w:val="both"/>
        <w:rPr/>
      </w:pPr>
      <w:r>
        <w:rPr>
          <w:rFonts w:ascii="Times New Roman;serif" w:hAnsi="Times New Roman;serif"/>
          <w:b w:val="false"/>
          <w:i/>
          <w:color w:val="000000"/>
          <w:sz w:val="20"/>
        </w:rPr>
        <w:t>Arizona Regulatory Mechanisms</w:t>
      </w:r>
      <w:r>
        <w:rPr>
          <w:rFonts w:ascii="Times New Roman;serif" w:hAnsi="Times New Roman;serif"/>
          <w:b w:val="false"/>
          <w:color w:val="000000"/>
          <w:sz w:val="20"/>
        </w:rPr>
        <w:t>. Southwest Gas uses several regulatory mechanisms in Arizona to address timing differences between costs incurred and recovery through base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SIM supports recovery of eligible non-revenue-producing infrastructure investments related to safety, code compliance, and system integrity. Recovery through the SIM is subject to an annual investment cap of $50 million, with surcharge updates occurring annually. The first SIM surcharge application was filed March 2026, with rates effective April 1, 2026, subject to refund. The ACC approved the SIM surcharge as filed by Southwest Gas in June 2026.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The DCA is Arizona’s margin decoupling mechanism and removes the direct relationship between volumes sold and revenue earned. Annual DCA filings return or recover over- or under-collected authorized margins. In August 2025, the ACC approved the Company’s 2025 DCA application, as filed, to recover the under-collected balance as of March 31, 2025, of approximately $40.7 million, which is expected to be recovered over 12 months from the time rates become effective. Southwest Gas’ most recent filing of the DCA Annual Report was made in April 2026, requesting recovery of the under-collected balance of $107.5 million existing as of March 31, 2026. To mitigate impact on customer bills, Southwest Gas proposed to calculate the DCA rates based on an extended 15-month period, seasonally adjusted, with a higher rate applicable in the summer season of May through October and a lower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applicable in the winter season of November through April. Southwest Gas’ request will be considered by the ACC as soon as practicable.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January 27, 2025, Southwest Gas filed a requested modification to the PGA mechanism to increase the GCBA adjustment to allow for a greater credit rate to be implemented than otherwise allowed under existing framework to facilitate the more timely return of the existing over-collected balance to customers. The ACC approved Southwest Gas’ request to implement a credit rate of $0.08138 per therm effective the first quarter 2025 and terminates when the GCBA balance is reduced to less than $10.0 million. Additionally, Southwest Gas filed a new request in April 2026 for ACC consideration to increase the applicable Deadband within which Southwest Gas may adjust the GCBA rate from the currently authorized 10 cents per therm to a proposed 20 cents per therm with a requested effective date of August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TEAM allows for rate adjustments related to changes in income tax-related revenue requirements resulting from federal or state tax legislation and returns/recovers the revenue requirement impact of changes in amortization of EADIT, including that which resulted from the 2017 Tax Cuts and Jobs Act, between general rate cases. The prior surcharge rate was designed to recover approximately $5.2 million resulting from changes related to the amortization of EADIT was approved and became effective June 1, 2025. These amounts were recovered through May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Southwest Gas filed its most recent TEAM rate application seeking authority to recover $0.7 million, which includes the current-year TEAM adjustment of approximately $7.9 million, primarily offset by the impact of Southwest Gas’ election of the natural gas safe harbor tax method of accounting for determining whether certain natural gas repair and maintenance expenditures are capitalized or expensed for income tax purposes. As a result of this accounting method change, approximately $27.1 million of EADIT associated with historic tax repairs shifts from protected treatment amortized under the Average Rate Assumption Method to unprotected treatment. Southwest Gas proposed the amortization of the $27.1 million in unprotected EADIT over a five-year period, consistent with the approximate remaining amortization period of the unprotected EADIT established in Southwest Gas’ 2019 general rate case. The application was approved in February 2026, as filed, with a rate effective date of June 1,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legacy COYL program was discontinued in Southwest Gas’ most recent Arizona rate case; however, an application was filed in June 2025 requesting recovery of the associated outstanding revenue requirement of approximately $5.2 million for work completed through March 2025. Recovery of the outstanding COYL revenue requirement over three years was approved by the ACC as requested in September 2025.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Collectively, these mechanisms primarily affect the timing of cash flows and are intended to reduce earnings volatility rather than impact long</w:t>
        <w:noBreakHyphen/>
        <w:t>term returns.</w:t>
      </w:r>
    </w:p>
    <w:p>
      <w:pPr>
        <w:pStyle w:val="TextBody"/>
        <w:bidi w:val="0"/>
        <w:spacing w:lineRule="auto" w:line="288" w:before="120" w:after="283"/>
        <w:jc w:val="both"/>
        <w:rPr/>
      </w:pPr>
      <w:r>
        <w:rPr>
          <w:rFonts w:ascii="Times New Roman;serif" w:hAnsi="Times New Roman;serif"/>
          <w:b w:val="false"/>
          <w:i/>
          <w:color w:val="000000"/>
          <w:sz w:val="20"/>
        </w:rPr>
        <w:t>Arizona Affiliate Rules Waiver</w:t>
      </w:r>
      <w:r>
        <w:rPr>
          <w:rFonts w:ascii="Times New Roman;serif" w:hAnsi="Times New Roman;serif"/>
          <w:b w:val="false"/>
          <w:color w:val="000000"/>
          <w:sz w:val="20"/>
        </w:rPr>
        <w:t>. In February 2026, Southwest Gas filed an application with the ACC seeking a waiver of certain affiliate rules to allow Southwest Gas Holdings and Southwest Gas to issue financing to Great Basin for the 2028 expansion project.  On April 8, 2026, the ACC approved the limited waiver to allow for funding of up to $1.7 billion.  Southwest Gas would be required to seek an additional waiver if the project costs are anticipated to exceed this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Nevada Jurisdiction</w:t>
      </w:r>
    </w:p>
    <w:p>
      <w:pPr>
        <w:pStyle w:val="TextBody"/>
        <w:bidi w:val="0"/>
        <w:spacing w:lineRule="auto" w:line="288" w:before="120" w:after="283"/>
        <w:jc w:val="both"/>
        <w:rPr/>
      </w:pPr>
      <w:r>
        <w:rPr>
          <w:rFonts w:ascii="Times New Roman;serif" w:hAnsi="Times New Roman;serif"/>
          <w:b w:val="false"/>
          <w:i/>
          <w:color w:val="000000"/>
          <w:sz w:val="20"/>
        </w:rPr>
        <w:t>Nevada Overview</w:t>
      </w:r>
      <w:r>
        <w:rPr>
          <w:rFonts w:ascii="Times New Roman;serif" w:hAnsi="Times New Roman;serif"/>
          <w:b w:val="false"/>
          <w:color w:val="000000"/>
          <w:sz w:val="20"/>
        </w:rPr>
        <w:t>. Nevada contributes approximately 34% to Southwest Gas’ Operating margin. In Nevada, regulatory frameworks in the state include decoupled rate design and targeted mechanisms that support infrastructure investment while reducing earnings volatility.</w:t>
      </w:r>
    </w:p>
    <w:p>
      <w:pPr>
        <w:pStyle w:val="TextBody"/>
        <w:bidi w:val="0"/>
        <w:spacing w:lineRule="auto" w:line="288" w:before="120" w:after="283"/>
        <w:jc w:val="both"/>
        <w:rPr/>
      </w:pPr>
      <w:r>
        <w:rPr>
          <w:rFonts w:ascii="Times New Roman;serif" w:hAnsi="Times New Roman;serif"/>
          <w:b w:val="false"/>
          <w:i/>
          <w:color w:val="000000"/>
          <w:sz w:val="20"/>
        </w:rPr>
        <w:t>Nevada General Rate Case.</w:t>
      </w:r>
      <w:r>
        <w:rPr>
          <w:color w:val="000000"/>
        </w:rPr>
        <w:t xml:space="preserve"> </w:t>
      </w:r>
      <w:r>
        <w:rPr>
          <w:rFonts w:ascii="Times New Roman;serif" w:hAnsi="Times New Roman;serif"/>
          <w:b w:val="false"/>
          <w:color w:val="000000"/>
          <w:sz w:val="20"/>
        </w:rPr>
        <w:t>On March 18, 2026, Southwest Gas filed a general rate case application with the PUCN, seeking an increase of approximately $71.3 million, or 10.8% of incremental annual revenues to reflect infrastructure investments and operating costs through November 30, 2025. The initial request was updated to seek an increase of approximately $74 million, to update plant in service and adjust for known changes in labor and pension costs for the certification period ended May 31, 2026. The filing requests a 10.0% return on common equity and an actual equity layer of 51.35% at the end of the certification period and proposes to maintain the existing decoupled rate design and basic service charges along with the continuation of the regulatory accounting treatment approved in 2025 to track the actual costs incurred for line location expenses to the level of expense to be established in the general rate case. New rates are expected to become effective in October 2026, subject to regulatory approval.</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Existing rates are the result of Southwest Gas’ 2023 Nevada general rate case application filed in September 2023 and updated with a certification filing primarily for plant placed in service, and incremental annual leak survey costs, through November 2023. Rates became effective in April 2024, authorizing an overall annual settled rate increase of approximately $59.1 million and a return on common equity of 9.5% relative to a target 50.0% equity ratio. Included in the settled items were a continuation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full revenue decoupling; authority to continue tracking incremental annual leak survey costs in a regulatory asset; and refreshed depreciation rates. </w:t>
      </w:r>
    </w:p>
    <w:p>
      <w:pPr>
        <w:pStyle w:val="TextBody"/>
        <w:bidi w:val="0"/>
        <w:spacing w:lineRule="auto" w:line="288" w:before="120" w:after="283"/>
        <w:jc w:val="both"/>
        <w:rPr/>
      </w:pPr>
      <w:r>
        <w:rPr>
          <w:rFonts w:ascii="Times New Roman;serif" w:hAnsi="Times New Roman;serif"/>
          <w:b w:val="false"/>
          <w:i/>
          <w:color w:val="000000"/>
          <w:sz w:val="20"/>
        </w:rPr>
        <w:t xml:space="preserve">Purchased Gas and Cost Recovery Mechanisms. </w:t>
      </w:r>
      <w:r>
        <w:rPr>
          <w:rFonts w:ascii="Times New Roman;serif" w:hAnsi="Times New Roman;serif"/>
          <w:b w:val="false"/>
          <w:color w:val="000000"/>
          <w:sz w:val="20"/>
        </w:rPr>
        <w:t>Southwest Gas uses several regulatory mechanisms in Nevada to address timing differences between costs incurred and recovery through base rates: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The GRA serves as Nevada’s margin decoupling mechanism and is updated through the ARA application. Updated rates for the GRA and other regulatory mechanisms were included in the 2025 ARA application filed in November 2025 requesting to adjust the GRA rates to recover the approximate $28.2 million balance as of September 30, 2025. In May 2026, the PUCN approved an all-party settlement recommending approval of the application as filed, with rates effective July 1,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DEAA currently facilitates the return of previously over-collected purchased gas costs to customers and serves as the mechanism to collect under-collected purchased gas costs from customers. The implementation of a DEAA credit of $0.20000 per therm applicable to southern Nevada customers and a credit of $0.25000 per therm applicable to northern Nevada customers became effective July 1, 2025. Subsequent quarterly adjustments, including those in October 2025, January 2026, April 2026, and July 2026 have been calculated consistently with the statutory rate cap of 2.5 cents per quarter, resulting in an increased credit rate of $0.30000 in southern Nevada and $0.35000 in northern Nevada, as of July 1, 2026. The over-collected PGA balance that existed at December 31, 2025 has been reduced to an over-collected balance of approximately $166.6 million and $31.5 million in southern and northern Nevada, respectively, at June 30, 2026. The most recent modification of the DEAA is expected to impact near-term liquidity at Southwest Gas when compared to earlier projections over 2025-2026 while modestly reducing interest expense on a net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Line Locate Activity Expenses Application</w:t>
      </w:r>
      <w:r>
        <w:rPr>
          <w:rFonts w:ascii="Times New Roman;serif" w:hAnsi="Times New Roman;serif"/>
          <w:b w:val="false"/>
          <w:color w:val="000000"/>
          <w:sz w:val="20"/>
        </w:rPr>
        <w:t>. In January 2025, Southwest Gas filed an application with the PUCN for authority to establish regulatory accounting treatment for line locate activity expenses, allowing Southwest Gas to track the actual level of line locate costs in operation and maintenance expense and to record, in a regulatory asset or liability account, the difference between amounts incurred and the level established in the most recently concluded general rate case. In July 2025, the PUCN approved regulatory accounting treatment beginning January 1, 2025. The proposal did not include carrying charges on the regulatory account balance in order to focus solely on stemming the financial attrition experienced in between rate cases related to this work. Amounts deferred in the regulatory assets are included for consideration in the recently filed general rate case, and continuation of the regulatory accounting treatment is requested.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mechanisms primarily affect the timing of cash flows and are intended to reduce earnings volatility rather than impact long-term returns.</w:t>
      </w:r>
    </w:p>
    <w:p>
      <w:pPr>
        <w:pStyle w:val="TextBody"/>
        <w:bidi w:val="0"/>
        <w:spacing w:lineRule="auto" w:line="288" w:before="120" w:after="283"/>
        <w:jc w:val="both"/>
        <w:rPr/>
      </w:pPr>
      <w:r>
        <w:rPr>
          <w:rFonts w:ascii="Times New Roman;serif" w:hAnsi="Times New Roman;serif"/>
          <w:b w:val="false"/>
          <w:i/>
          <w:color w:val="000000"/>
          <w:sz w:val="20"/>
        </w:rPr>
        <w:t>Resource Plan</w:t>
      </w:r>
      <w:r>
        <w:rPr>
          <w:rFonts w:ascii="Times New Roman;serif" w:hAnsi="Times New Roman;serif"/>
          <w:b w:val="false"/>
          <w:color w:val="000000"/>
          <w:sz w:val="20"/>
        </w:rPr>
        <w:t xml:space="preserve">. In April 2026, Southwest Gas received approval of its first triennial resource plan, filed in September 2025, pursuant to SB 281 (2023). Southwest Gas received a determination of prudency for approximately $186 million of certain significant operational or capital requirements, as defined by SB 281, during the 2026-2028 action plan period, including safety-related and system integrity management investments in southern and northern Nevada, and a proposal to commence a vintage 1984/1985 pipe replacement program in southern Nevada. The PUCN also approved the approximate $4.8 million investment over the action plan period in two new safety-related programs (the natural gas alarm pilot program and the meter protection program), including authority to establish regulatory accounting for the natural gas alarm pilot program. The natural gas alarm pilot program proposed the purchase and installation of approximately 10,000 natural gas alarms in high occupancy facilities across Southwest Gas’ southern and northern Nevada service territories. The meter protection program proposed the purchase and installation of meter snow shelters to enhance the protection of existing meters in heavy snow load areas in Southwest Gas’ northern Nevada service territory around Lake Tahoe. Southwest Gas received approval to continue its currently authorized COYL replacement program, including the annual statewide capital investment amount of $5.0 million, and associated regulatory accounting treatment beyond the current program sunset date of July 30, 2027, through the end of 2028. Southwest Gas’ customer demand forecasting methodology for the applicable three-year action plan period was approved. With respect to gas resources, the PUCN authorized a modification of Southwest Gas’ currently authorized price cap of $14/dekatherm to $18/dekatherm for RNG purchases to better align with evolving RNG market conditions and to extend its current contract term length and purchasing authority for RNG beyond the currently approved date of December 31, 2029.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also received authority to purchase responsibly sourced gas, in the form of carbon capture and storage-enabled natural gas, for incorporation into Southwest Gas’ gas supply portfolio to meet up to 5% of its normal weather demand in northern and southern Nevada. Finally, Southwest Gas received approval of a demand-side management plan and proposed activities and programs, with a total statewide budget of $7.2 million over the three-year action plan period, to promote energy efficiency and conservation.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California Jurisdiction</w:t>
      </w:r>
    </w:p>
    <w:p>
      <w:pPr>
        <w:pStyle w:val="TextBody"/>
        <w:bidi w:val="0"/>
        <w:spacing w:lineRule="auto" w:line="288" w:before="120" w:after="283"/>
        <w:jc w:val="both"/>
        <w:rPr/>
      </w:pPr>
      <w:r>
        <w:rPr>
          <w:rFonts w:ascii="Times New Roman;serif" w:hAnsi="Times New Roman;serif"/>
          <w:b w:val="false"/>
          <w:i/>
          <w:color w:val="000000"/>
          <w:sz w:val="20"/>
        </w:rPr>
        <w:t>California Overview</w:t>
      </w:r>
      <w:r>
        <w:rPr>
          <w:rFonts w:ascii="Times New Roman;serif" w:hAnsi="Times New Roman;serif"/>
          <w:b w:val="false"/>
          <w:color w:val="000000"/>
          <w:sz w:val="20"/>
        </w:rPr>
        <w:t>. California contributes approximately 14% to Southwest Gas’ Operating margin. Regulatory frameworks in the state include decoupled rate design and a future test year with annual attrition adjustments that support infrastructure investment while reducing earnings volatility.</w:t>
      </w:r>
    </w:p>
    <w:p>
      <w:pPr>
        <w:pStyle w:val="TextBody"/>
        <w:bidi w:val="0"/>
        <w:spacing w:lineRule="auto" w:line="288" w:before="120" w:after="283"/>
        <w:jc w:val="both"/>
        <w:rPr/>
      </w:pPr>
      <w:r>
        <w:rPr>
          <w:rFonts w:ascii="Times New Roman;serif" w:hAnsi="Times New Roman;serif"/>
          <w:b w:val="false"/>
          <w:i/>
          <w:color w:val="000000"/>
          <w:sz w:val="20"/>
        </w:rPr>
        <w:t>California General Rate Case.</w:t>
      </w:r>
      <w:r>
        <w:rPr>
          <w:color w:val="000000"/>
        </w:rPr>
        <w:t xml:space="preserve"> </w:t>
      </w:r>
      <w:r>
        <w:rPr>
          <w:rFonts w:ascii="Times New Roman;serif" w:hAnsi="Times New Roman;serif"/>
          <w:b w:val="false"/>
          <w:color w:val="000000"/>
          <w:sz w:val="20"/>
        </w:rPr>
        <w:t>Southwest Gas filed its most recent general rate case in September 2024 seeking refreshed rates beginning in January 2026 to reflect infrastructure investments and updated operating costs. The CPUC issued a Decision in May 2026 approving the all-party settlement filed in September 2025 agreeing to a revenue increase of $39.5 million, before consideration of the litigated capital structure and cost of capital. Following the issuance of the Decision, Southwest Gas requested approval to implement rates based on the $39.5 million settlement effective July 1, 2026, pending the issuance of the final decision resolving the outstanding cost of capital-related issues. The CPUC approved Southwest Gas’ request, and new rates became effective July 1, 2026. In June 2026, the Administrative Law Judge issued a Proposed Decision addressing the outstanding capital structure and cost of capital, recommending approval of a 10.0% return on equity and Southwest Gas’ proposed 50.0% equity layer. Southwest Gas filed comments with the CPUC requesting reconsideration of the proposed 10.0% return on equity. The CPUC held the Proposed Decision from the July agenda and moved it to the August meeting for consideration. Southwest Gas anticipates the issuance of the CPUC’s final decision on the capital structure and cost of capital will become effective in the third quarter of 2026. The CPUC previously granted Southwest Gas’ motion seeking authority to establish a general rate case memorandum account effective January 1, 2026, through the effective date of the CPUC’s final decision allowing Southwest Gas to track changes in the revenue requirement beginning January 1, 2026.</w:t>
      </w:r>
    </w:p>
    <w:p>
      <w:pPr>
        <w:pStyle w:val="TextBody"/>
        <w:bidi w:val="0"/>
        <w:spacing w:lineRule="auto" w:line="288" w:before="120" w:after="283"/>
        <w:jc w:val="both"/>
        <w:rPr/>
      </w:pPr>
      <w:r>
        <w:rPr>
          <w:rFonts w:ascii="Times New Roman;serif" w:hAnsi="Times New Roman;serif"/>
          <w:b w:val="false"/>
          <w:i/>
          <w:color w:val="000000"/>
          <w:sz w:val="20"/>
        </w:rPr>
        <w:t>Financing Application</w:t>
      </w:r>
      <w:r>
        <w:rPr>
          <w:rFonts w:ascii="Times New Roman;serif" w:hAnsi="Times New Roman;serif"/>
          <w:b w:val="false"/>
          <w:color w:val="000000"/>
          <w:sz w:val="20"/>
        </w:rPr>
        <w:t>. Southwest Gas filed an application with the CPUC in February 2026 seeking incremental financing authority to issue or obtain additional debt securities in an amount not to exceed approximately $1.15 billion, and the application of such proceeds through the five-year period ending December 31, 2030, to facilitate funding for the Great Basin 2028 expansion project. The incremental increase will bring the total authorized debt to $2.1 billion. The CPUC approved Southwest Gas’ financing application, as filed, on July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FERC Jurisdiction</w:t>
      </w:r>
    </w:p>
    <w:p>
      <w:pPr>
        <w:pStyle w:val="TextBody"/>
        <w:bidi w:val="0"/>
        <w:spacing w:lineRule="auto" w:line="276" w:before="120" w:after="283"/>
        <w:jc w:val="both"/>
        <w:rPr/>
      </w:pPr>
      <w:r>
        <w:rPr>
          <w:rFonts w:ascii="Times New Roman;serif" w:hAnsi="Times New Roman;serif"/>
          <w:b w:val="false"/>
          <w:i/>
          <w:color w:val="000000"/>
          <w:sz w:val="20"/>
        </w:rPr>
        <w:t xml:space="preserve">Great Basin Overview. </w:t>
      </w:r>
      <w:r>
        <w:rPr>
          <w:rFonts w:ascii="Times New Roman;serif" w:hAnsi="Times New Roman;serif"/>
          <w:b w:val="false"/>
          <w:color w:val="000000"/>
          <w:sz w:val="20"/>
        </w:rPr>
        <w:t>Great Basin, a wholly owned subsidiary of Southwest Gas, is regulated by the FERC. A general rate case settlement approved in 2025 provided an increase of $9.6 million, reflecting an approved increase in rate base to approximately $191.0 million, a 41.0% increase over the amount previously authorized. Rates became effective in April 2025, reflecting a calculated 9.76% pre-tax rate of return, compared with the requested return on common equity of 11.95% relative to a 50.0% equity ratio.</w:t>
      </w:r>
    </w:p>
    <w:p>
      <w:pPr>
        <w:pStyle w:val="TextBody"/>
        <w:bidi w:val="0"/>
        <w:spacing w:lineRule="auto" w:line="276" w:before="120" w:after="283"/>
        <w:jc w:val="both"/>
        <w:rPr/>
      </w:pPr>
      <w:r>
        <w:rPr>
          <w:rFonts w:ascii="Times New Roman;serif" w:hAnsi="Times New Roman;serif"/>
          <w:b w:val="false"/>
          <w:i/>
          <w:color w:val="000000"/>
          <w:sz w:val="20"/>
        </w:rPr>
        <w:t>Great Basin 2028 Expansion Project</w:t>
      </w:r>
      <w:r>
        <w:rPr>
          <w:rFonts w:ascii="Times New Roman;serif" w:hAnsi="Times New Roman;serif"/>
          <w:b w:val="false"/>
          <w:color w:val="000000"/>
          <w:sz w:val="20"/>
        </w:rPr>
        <w:t>. In response to shipper inquiries regarding available capacity and evolving market needs, Great Basin conducted two binding open seasons in 2025 for a planned 2028 system expansion. The open seasons identified potential incremental demand of up to ~1.76 Bcf/d and allowed existing and prospective shippers to evaluate capacity needs, alternative in-service dates, and the scope of the expansion project to support growing energy demand in northern Nevada. In December 2025, precedent agreements were executed with shippers to accommodate capacity requests totaling approximately 800 million cubic feet per day. Subject to approval from FERC to construct and operate the system expansion, Great Basin estimates a potential capital investment of approximately $1.7 billion in the next three years with an expected in-service date of late 2028.</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 Binding Open Season was issued on April 15, 2026 for available capacity in the 2028 expansion project following the evaluation of the system configuration and requirements necessary to meet the demand of the current project shippers. The open season offered the remaining available capacity, in excess of the approximately 0.6 Bcf/d of currently contracted expansion capacity. As a result of demand received, precedent agreements for just under 1 Bcf/d for the Great Basin 2028 Expansion Project with an expected in-service date of late 2028. This could increase capital investment by approximately $0.6 billion above the current estimate of $1.7 billion over the next three years. Great Basin also received further expressions of incremental capacity interest for an additional 1.8 Bcf/d for future in-service dates beyond 2028, which will be included in potential future expansion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PGA Filings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June 30, 2026, over-collections in Southwest Gas’ service territories resulted in a liability of approximately $286.8 million on the Company’s and Southwest Gas’ Condensed Consolidated Balance Sheets. The over-collected balances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reflect the impacts related to specific recovery rates under existing mechanisms, which have exceeded the cost of recent gas supply purchases by Southwest Gas.</w:t>
      </w:r>
    </w:p>
    <w:p>
      <w:pPr>
        <w:pStyle w:val="TextBody"/>
        <w:bidi w:val="0"/>
        <w:spacing w:lineRule="auto" w:line="288" w:before="120" w:after="283"/>
        <w:jc w:val="both"/>
        <w:rPr/>
      </w:pPr>
      <w:r>
        <w:rPr>
          <w:rFonts w:ascii="Times New Roman;serif" w:hAnsi="Times New Roman;serif"/>
          <w:b w:val="false"/>
          <w:color w:val="000000"/>
          <w:sz w:val="20"/>
        </w:rPr>
        <w:t xml:space="preserve">Filings to change rates in accordance with PGA clauses are subject to audit by state regulatory commission staff. The operation of the mechanism in California is typically the most responsive to changes in gas supply costs, and maximum rate adjustments for the earlier build-up (positive or negative) apply to Nevada and Arizona; however, refer to the </w:t>
      </w:r>
      <w:r>
        <w:rPr>
          <w:rFonts w:ascii="Times New Roman;serif" w:hAnsi="Times New Roman;serif"/>
          <w:b w:val="false"/>
          <w:i/>
          <w:color w:val="000000"/>
          <w:sz w:val="20"/>
        </w:rPr>
        <w:t>Arizona Regulatory Mechanisms</w:t>
      </w:r>
      <w:r>
        <w:rPr>
          <w:color w:val="000000"/>
        </w:rPr>
        <w:t xml:space="preserve"> </w:t>
      </w:r>
      <w:r>
        <w:rPr>
          <w:rFonts w:ascii="Times New Roman;serif" w:hAnsi="Times New Roman;serif"/>
          <w:b w:val="false"/>
          <w:color w:val="000000"/>
          <w:sz w:val="20"/>
        </w:rPr>
        <w:t xml:space="preserve">discussion above related to Arizona and the </w:t>
      </w:r>
      <w:r>
        <w:rPr>
          <w:rFonts w:ascii="Times New Roman;serif" w:hAnsi="Times New Roman;serif"/>
          <w:b w:val="false"/>
          <w:i/>
          <w:color w:val="000000"/>
          <w:sz w:val="20"/>
        </w:rPr>
        <w:t xml:space="preserve">Purchased Gas and Cost Recovery Mechanisms </w:t>
      </w:r>
      <w:r>
        <w:rPr>
          <w:rFonts w:ascii="Times New Roman;serif" w:hAnsi="Times New Roman;serif"/>
          <w:b w:val="false"/>
          <w:color w:val="000000"/>
          <w:sz w:val="20"/>
        </w:rPr>
        <w:t xml:space="preserve">in Nevada.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Southwest Gas’ outstanding PGA, including accrued purchased gas costs, balances receivable/(payable): </w:t>
      </w:r>
    </w:p>
    <w:tbl>
      <w:tblPr>
        <w:tblW w:w="7133" w:type="dxa"/>
        <w:jc w:val="left"/>
        <w:tblInd w:w="0" w:type="dxa"/>
        <w:tblLayout w:type="fixed"/>
        <w:tblCellMar>
          <w:top w:w="28" w:type="dxa"/>
          <w:left w:w="28" w:type="dxa"/>
          <w:bottom w:w="28" w:type="dxa"/>
          <w:right w:w="28" w:type="dxa"/>
        </w:tblCellMar>
      </w:tblPr>
      <w:tblGrid>
        <w:gridCol w:w="701"/>
        <w:gridCol w:w="615"/>
        <w:gridCol w:w="619"/>
        <w:gridCol w:w="109"/>
        <w:gridCol w:w="109"/>
        <w:gridCol w:w="109"/>
        <w:gridCol w:w="226"/>
        <w:gridCol w:w="902"/>
        <w:gridCol w:w="118"/>
        <w:gridCol w:w="109"/>
        <w:gridCol w:w="109"/>
        <w:gridCol w:w="109"/>
        <w:gridCol w:w="305"/>
        <w:gridCol w:w="1217"/>
        <w:gridCol w:w="159"/>
        <w:gridCol w:w="109"/>
        <w:gridCol w:w="109"/>
        <w:gridCol w:w="109"/>
        <w:gridCol w:w="215"/>
        <w:gridCol w:w="918"/>
        <w:gridCol w:w="157"/>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(304,871)</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(355,691)</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Capital Resources and Liquidity</w:t>
      </w:r>
    </w:p>
    <w:p>
      <w:pPr>
        <w:pStyle w:val="TextBody"/>
        <w:bidi w:val="0"/>
        <w:spacing w:lineRule="auto" w:line="288" w:before="120" w:after="283"/>
        <w:jc w:val="both"/>
        <w:rPr/>
      </w:pPr>
      <w:r>
        <w:rPr>
          <w:rFonts w:ascii="Times New Roman;serif" w:hAnsi="Times New Roman;serif"/>
          <w:b w:val="false"/>
          <w:color w:val="000000"/>
          <w:sz w:val="20"/>
        </w:rPr>
        <w:t>Historically</w:t>
      </w:r>
      <w:r>
        <w:rPr>
          <w:rFonts w:ascii="Times New Roman;serif" w:hAnsi="Times New Roman;serif"/>
          <w:b w:val="false"/>
          <w:color w:val="000000"/>
          <w:sz w:val="20"/>
          <w:shd w:fill="FFFFFF" w:val="clear"/>
        </w:rPr>
        <w:t xml:space="preserve">, cash on hand and cash flows from operations, and periodically the issuances of debt and equity, have provided a substantial portion of cash used in investing activities (primarily construction expenditures and property additions). In recent years, Southwest </w:t>
      </w:r>
      <w:r>
        <w:rPr>
          <w:rFonts w:ascii="Times New Roman;serif" w:hAnsi="Times New Roman;serif"/>
          <w:b w:val="false"/>
          <w:color w:val="000000"/>
          <w:sz w:val="20"/>
        </w:rPr>
        <w:t xml:space="preserve">Gas </w:t>
      </w:r>
      <w:r>
        <w:rPr>
          <w:rFonts w:ascii="Times New Roman;serif" w:hAnsi="Times New Roman;serif"/>
          <w:b w:val="false"/>
          <w:color w:val="000000"/>
          <w:sz w:val="20"/>
          <w:shd w:fill="FFFFFF" w:val="clear"/>
        </w:rPr>
        <w:t xml:space="preserve">has undertaken substantial pipe replacement activities to fortify system integrity and reliability, including on an accelerated basis in association with certain gas infrastructure replacement programs. Southwest Gas Holdings and </w:t>
      </w:r>
      <w:r>
        <w:rPr>
          <w:rFonts w:ascii="Times New Roman;serif" w:hAnsi="Times New Roman;serif"/>
          <w:b w:val="false"/>
          <w:color w:val="000000"/>
          <w:sz w:val="20"/>
        </w:rPr>
        <w:t xml:space="preserve">Southwest Gas’ capitalization strategy is to maintain an appropriate balance of equity and debt to preserve investment-grade credit ratings, which helps minimize interest costs. Investment-grade credit ratings have been maintained by </w:t>
      </w:r>
      <w:r>
        <w:rPr>
          <w:rFonts w:ascii="Times New Roman;serif" w:hAnsi="Times New Roman;serif"/>
          <w:b w:val="false"/>
          <w:color w:val="000000"/>
          <w:sz w:val="20"/>
          <w:shd w:fill="FFFFFF" w:val="clear"/>
        </w:rPr>
        <w:t xml:space="preserve">Southwest Gas Holdings </w:t>
      </w:r>
      <w:r>
        <w:rPr>
          <w:rFonts w:ascii="Times New Roman;serif" w:hAnsi="Times New Roman;serif"/>
          <w:b w:val="false"/>
          <w:color w:val="000000"/>
          <w:sz w:val="20"/>
        </w:rPr>
        <w:t>and Southwest 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w:t>
      </w:r>
    </w:p>
    <w:p>
      <w:pPr>
        <w:pStyle w:val="TextBody"/>
        <w:bidi w:val="0"/>
        <w:spacing w:lineRule="auto" w:line="288" w:before="120" w:after="283"/>
        <w:jc w:val="both"/>
        <w:rPr/>
      </w:pPr>
      <w:r>
        <w:rPr>
          <w:rFonts w:ascii="Times New Roman;serif" w:hAnsi="Times New Roman;serif"/>
          <w:b w:val="false"/>
          <w:i/>
          <w:color w:val="000000"/>
          <w:sz w:val="20"/>
        </w:rPr>
        <w:t>Operating Cash Flows.</w:t>
      </w:r>
      <w:r>
        <w:rPr>
          <w:color w:val="000000"/>
        </w:rPr>
        <w:t xml:space="preserve"> </w:t>
      </w:r>
      <w:r>
        <w:rPr>
          <w:rFonts w:ascii="Times New Roman;serif" w:hAnsi="Times New Roman;serif"/>
          <w:b w:val="false"/>
          <w:color w:val="000000"/>
          <w:sz w:val="20"/>
        </w:rPr>
        <w:t>Cash flows provided by operating activities decreased $109.4 million in the first six months of 2026 compared to the same period of 2025. The decrease was primarily due to a $120.4 million reduction in cash flow from continuing operation, which reflects the transition from prior period when recovery rates resulted in collections that exceeded actual purchased gas costs. As a result, the current period includes the reimbursement of this excess recovery to customers. The remaining difference reflects the impacts of changes in other components of working capital overall. Partially offsetting this decrease was a $11.0 million increase in operating cash flows from discontinued operations. The increase was mainly attributable to the absence of Centuri in the current period following the completion of its disposition.</w:t>
      </w:r>
    </w:p>
    <w:p>
      <w:pPr>
        <w:pStyle w:val="TextBody"/>
        <w:bidi w:val="0"/>
        <w:spacing w:lineRule="auto" w:line="288" w:before="120" w:after="283"/>
        <w:jc w:val="both"/>
        <w:rPr/>
      </w:pPr>
      <w:r>
        <w:rPr>
          <w:rFonts w:ascii="Times New Roman;serif" w:hAnsi="Times New Roman;serif"/>
          <w:b w:val="false"/>
          <w:i/>
          <w:color w:val="000000"/>
          <w:sz w:val="20"/>
        </w:rPr>
        <w:t>Investing Cash Flows.</w:t>
      </w:r>
      <w:r>
        <w:rPr>
          <w:color w:val="000000"/>
        </w:rPr>
        <w:t xml:space="preserve"> </w:t>
      </w:r>
      <w:r>
        <w:rPr>
          <w:rFonts w:ascii="Times New Roman;serif" w:hAnsi="Times New Roman;serif"/>
          <w:b w:val="false"/>
          <w:color w:val="000000"/>
          <w:sz w:val="20"/>
        </w:rPr>
        <w:t>Cash flows used in investing activities increased $125.6 million in the first six months of 2026 compared to the same period of 2025. The increase was primarily from the increase in cash flows used in continuing operations of $168.2 million driven by the increased outflows for capital expenditures and property additions compared to 2025. Partially offsetting this increase was a decrease in cash flow used in discontinued operations of $42.6 million that was mainly attributable to the absence of Centuri in the current period following the completion of its disposition.</w:t>
      </w:r>
    </w:p>
    <w:p>
      <w:pPr>
        <w:pStyle w:val="TextBody"/>
        <w:bidi w:val="0"/>
        <w:spacing w:lineRule="auto" w:line="288" w:before="120" w:after="283"/>
        <w:jc w:val="both"/>
        <w:rPr/>
      </w:pPr>
      <w:r>
        <w:rPr>
          <w:rFonts w:ascii="Times New Roman;serif" w:hAnsi="Times New Roman;serif"/>
          <w:b w:val="false"/>
          <w:i/>
          <w:color w:val="000000"/>
          <w:sz w:val="20"/>
        </w:rPr>
        <w:t>Financing Cash Flows.</w:t>
      </w:r>
      <w:r>
        <w:rPr>
          <w:color w:val="000000"/>
        </w:rPr>
        <w:t xml:space="preserve"> </w:t>
      </w:r>
      <w:r>
        <w:rPr>
          <w:rFonts w:ascii="Times New Roman;serif" w:hAnsi="Times New Roman;serif"/>
          <w:b w:val="false"/>
          <w:color w:val="000000"/>
          <w:sz w:val="20"/>
        </w:rPr>
        <w:t>Cash flows used in financing activities increased $62.8 million in the first six months of 2026 compared to the same period of 2025. The increase in cash flow used in discontinued operations of $481.3 million was mainly attributable to the absence of Centuri in the current period following the completion of its disposition. Partially offsetting this impact was a decrease of cash flow used in continuing operations of $418.6 million primarily driven by the absence of repayment of short-term debt and borrowings related to the short-term portion of the credit facility in the current period as compared to the same period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Natural Gas Distribution segment is generally responsible for securing its own debt financing sources. However, Southwest Gas Holdings may raise funds through equity issuances or other external financing sources in support of our Natural Gas Distribution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Corporation:</w:t>
      </w:r>
    </w:p>
    <w:p>
      <w:pPr>
        <w:pStyle w:val="TextBody"/>
        <w:bidi w:val="0"/>
        <w:spacing w:lineRule="auto" w:line="288" w:before="120" w:after="283"/>
        <w:jc w:val="both"/>
        <w:rPr/>
      </w:pPr>
      <w:r>
        <w:rPr>
          <w:rFonts w:ascii="Times New Roman;serif" w:hAnsi="Times New Roman;serif"/>
          <w:b w:val="false"/>
          <w:i/>
          <w:color w:val="000000"/>
          <w:sz w:val="20"/>
        </w:rPr>
        <w:t>Operating Cash Flows.</w:t>
      </w:r>
      <w:r>
        <w:rPr>
          <w:color w:val="000000"/>
        </w:rPr>
        <w:t xml:space="preserve"> </w:t>
      </w:r>
      <w:r>
        <w:rPr>
          <w:rFonts w:ascii="Times New Roman;serif" w:hAnsi="Times New Roman;serif"/>
          <w:b w:val="false"/>
          <w:color w:val="000000"/>
          <w:sz w:val="20"/>
        </w:rPr>
        <w:t xml:space="preserve">Cash flows provided by operating activities decreased approximately $50.2 million in the first six months of 2026 as compared to the same period of 2025. The decrease primarily reflects the transition from prior period when recovery rates resulted in collections that exceeded actual purchased gas costs. As a result, the current period includes the reimbursement of this excess recovery to customers. Partially offsetting this decrease was an increase in receivable from parent which resulted from the tax benefit extended to Southwest Gas Holdings. The remaining difference reflects the impacts of changes in other components of working capital overall. </w:t>
      </w:r>
    </w:p>
    <w:p>
      <w:pPr>
        <w:pStyle w:val="TextBody"/>
        <w:bidi w:val="0"/>
        <w:spacing w:lineRule="auto" w:line="288" w:before="120" w:after="283"/>
        <w:jc w:val="both"/>
        <w:rPr/>
      </w:pPr>
      <w:r>
        <w:rPr>
          <w:rFonts w:ascii="Times New Roman;serif" w:hAnsi="Times New Roman;serif"/>
          <w:b w:val="false"/>
          <w:i/>
          <w:color w:val="000000"/>
          <w:sz w:val="20"/>
        </w:rPr>
        <w:t>Investing Cash Flows.</w:t>
      </w:r>
      <w:r>
        <w:rPr>
          <w:color w:val="000000"/>
        </w:rPr>
        <w:t xml:space="preserve"> </w:t>
      </w:r>
      <w:r>
        <w:rPr>
          <w:rFonts w:ascii="Times New Roman;serif" w:hAnsi="Times New Roman;serif"/>
          <w:b w:val="false"/>
          <w:color w:val="000000"/>
          <w:sz w:val="20"/>
        </w:rPr>
        <w:t xml:space="preserve">Cash used in investing activities increased $168.3 million in the first six months of 2026 as compared to the same period of 2025 primarily attributable to increased outflows for capital expenditures by $166.7 million between periods. See also </w:t>
      </w:r>
      <w:r>
        <w:rPr>
          <w:rFonts w:ascii="Times New Roman;serif" w:hAnsi="Times New Roman;serif"/>
          <w:b w:val="false"/>
          <w:i/>
          <w:color w:val="000000"/>
          <w:sz w:val="20"/>
        </w:rPr>
        <w:t>Natural</w:t>
      </w:r>
      <w:r>
        <w:rPr>
          <w:color w:val="000000"/>
        </w:rPr>
        <w:t xml:space="preserve"> </w:t>
      </w:r>
      <w:r>
        <w:rPr>
          <w:rFonts w:ascii="Times New Roman;serif" w:hAnsi="Times New Roman;serif"/>
          <w:b w:val="false"/>
          <w:i/>
          <w:color w:val="000000"/>
          <w:sz w:val="20"/>
        </w:rPr>
        <w:t>Gas Distribution Segment Capital Expenditures, Debt Maturities, and Financing</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283"/>
        <w:jc w:val="both"/>
        <w:rPr/>
      </w:pPr>
      <w:r>
        <w:rPr>
          <w:rFonts w:ascii="Times New Roman;serif" w:hAnsi="Times New Roman;serif"/>
          <w:b w:val="false"/>
          <w:i/>
          <w:color w:val="000000"/>
          <w:sz w:val="20"/>
        </w:rPr>
        <w:t>Financing Cash Flows.</w:t>
      </w:r>
      <w:r>
        <w:rPr>
          <w:color w:val="000000"/>
        </w:rPr>
        <w:t xml:space="preserve"> </w:t>
      </w:r>
      <w:r>
        <w:rPr>
          <w:rFonts w:ascii="Times New Roman;serif" w:hAnsi="Times New Roman;serif"/>
          <w:b w:val="false"/>
          <w:color w:val="000000"/>
          <w:sz w:val="20"/>
        </w:rPr>
        <w:t>Net cash used in financing activities decreased $209.0 million in the first six months of 2026 as compared to the same period of 2025, primarily driven by the $120.0 million contribution from parent and the absence of dividends paid in the current period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Natural Gas Distribution Segment Capital Expenditures, Debt Maturities, and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six-month period ended June 30, 2026, capital expenditures for the Natural Gas Distribution segment were $506.9 million. These expenditures are associated with new construction and other general plant additions, in addition to the replacement of existing transmission and distribution pipeline facilities to fortify system integrity and reliability.</w:t>
      </w:r>
    </w:p>
    <w:p>
      <w:pPr>
        <w:pStyle w:val="TextBody"/>
        <w:bidi w:val="0"/>
        <w:spacing w:lineRule="auto" w:line="288" w:before="120" w:after="283"/>
        <w:jc w:val="both"/>
        <w:rPr/>
      </w:pPr>
      <w:r>
        <w:rPr>
          <w:rFonts w:ascii="Times New Roman;serif" w:hAnsi="Times New Roman;serif"/>
          <w:b w:val="false"/>
          <w:color w:val="000000"/>
          <w:sz w:val="20"/>
        </w:rPr>
        <w:t xml:space="preserve">Management estimates capital expenditures during the five-year period ending December 31, 2030 will be approximately $6.3 billion. Of this amount, approximately $1.3 billion is expected to be incurred during calendar year 2026.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serif" w:hAnsi="Times New Roman;serif"/>
          <w:b w:val="false"/>
          <w:i/>
          <w:color w:val="000000"/>
          <w:sz w:val="20"/>
        </w:rPr>
        <w:t>Rates and Regulatory Proceedings</w:t>
      </w:r>
      <w:r>
        <w:rPr>
          <w:rFonts w:ascii="Times New Roman;serif" w:hAnsi="Times New Roman;serif"/>
          <w:b w:val="false"/>
          <w:color w:val="000000"/>
          <w:sz w:val="20"/>
        </w:rPr>
        <w:t xml:space="preserve">. During that same five-year period, cash flows from operating activities of Southwest Gas are expected to provide approximately 60% of the funding for gas operations of Southwest Gas and total capital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For Southwest Gas, the $75.0 million current portion of long-term debt </w:t>
      </w:r>
      <w:r>
        <w:rPr>
          <w:rFonts w:ascii="Times New Roman;serif" w:hAnsi="Times New Roman;serif"/>
          <w:b w:val="false"/>
          <w:color w:val="000000"/>
          <w:sz w:val="20"/>
          <w:shd w:fill="FFFFFF" w:val="clear"/>
        </w:rPr>
        <w:t>matured in August 2026 and was repaid on August 3, 2026, and the $25.0 million current portion of long-term debt will mature in June 2027</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Dividends are payable on the Company’s common stock at the discretion of the Board. In setting the dividend rate, the Board considers, among other factors, projected capital requirements, the Company’s liquidity position and overall financial condition, the competitiveness of the dividend yield, economic conditions, equity dilution, and impacts on credit ratings. The Company has paid dividends on its common stock since 1956. In February 2026, the Board approved an increase to the quarterly dividend from $0.62 to $0.645 per share, effective with the June 2026 payment. No assurances can be provided on our future dividend payments and the actual declarations of dividend payments remain at the discretion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Several factors (some of which are out of the control of the Company) that could significantly affect liquidity in future years include: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the availability and cost of contract labor, supply chain constraints within the compression and steel pipe markets, and the level of earnings. Natural gas prices and related gas cost recovery rates, as well as plant investment and ratemaking activities, have historically had the most significant impact on liquidity, aside from the Company’s strategic undertakings, in the recent past, including acquisition and disposition activity.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June 30, 2026, the PGA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balance was an over-collection of $286.8 million and Southwest Gas’ Cash and cash equivalents balance of $58.9 million will be used to provide refunds to customers over future periods along with net cash provided by operating activities and its credit facilities. See </w:t>
      </w:r>
      <w:r>
        <w:rPr>
          <w:rFonts w:ascii="Times New Roman;serif" w:hAnsi="Times New Roman;serif"/>
          <w:b/>
          <w:color w:val="000000"/>
          <w:sz w:val="20"/>
        </w:rPr>
        <w:t>PGA Filings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Southwest Gas Holdings has a $300 million revolving credit facility that matures in August 2029. This facility is intended for short-term financing needs. At June 30, 2026, there were no borrowings outstanding under this facility. </w:t>
      </w:r>
    </w:p>
    <w:p>
      <w:pPr>
        <w:pStyle w:val="TextBody"/>
        <w:bidi w:val="0"/>
        <w:spacing w:lineRule="auto" w:line="288" w:before="120" w:after="283"/>
        <w:jc w:val="both"/>
        <w:rPr/>
      </w:pPr>
      <w:r>
        <w:rPr>
          <w:rFonts w:ascii="Times New Roman;serif" w:hAnsi="Times New Roman;serif"/>
          <w:b w:val="false"/>
          <w:color w:val="000000"/>
          <w:sz w:val="20"/>
        </w:rPr>
        <w:t>Southwest Gas has a revolving credit facility with a borrowing capacity of $400.0 million, which matures in August 2029. Southwest Gas designates $150.0 million of the facility for long-term borrowing needs and the remaining $250.0 million for working capital purposes. As of June 30, 2026, no borrowings were outstanding on the long-term portion of the credit facility (including no borrowings outstanding under the commercial paper program) and no borrowings were outstandin</w:t>
      </w:r>
      <w:r>
        <w:rPr>
          <w:rFonts w:ascii="Times New Roman;serif" w:hAnsi="Times New Roman;serif"/>
          <w:b w:val="false"/>
          <w:color w:val="000000"/>
          <w:sz w:val="20"/>
          <w:shd w:fill="FFFFFF" w:val="clear"/>
        </w:rPr>
        <w:t>g on the short-term portio</w:t>
      </w:r>
      <w:r>
        <w:rPr>
          <w:rFonts w:ascii="Times New Roman;serif" w:hAnsi="Times New Roman;serif"/>
          <w:b w:val="false"/>
          <w:color w:val="000000"/>
          <w:sz w:val="20"/>
        </w:rPr>
        <w:t>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 Gas’ needs outside of funds raised through operations and other types of external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has a $50 million commercial paper program. Any issuance under the commercial paper program is supported by Southwest Gas’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June 30, 2026, there were no borrowings outstanding under this program. In July 2026, Southwest Gas expanded its commercial paper program from $50 million to $100 million and entered into new dealer agreements in connection with the expanded program.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Labor Relations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 and the Union representing certain Southern California employees entered into an agreement with an effective date of July 1, 2026. The agreement governs through February 28, 2029 and applies only to certain workers in Southwest Gas’ Southern California Division located in Victorville, California.</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significant changes with regard to the critical accounting policies and estimates disclosed in the MD&amp;A in the Companies’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pPr>
      <w:r>
        <w:rPr>
          <w:rFonts w:ascii="Times New Roman;serif" w:hAnsi="Times New Roman;serif"/>
          <w:b w:val="false"/>
          <w:color w:val="000000"/>
          <w:sz w:val="20"/>
        </w:rPr>
        <w:t xml:space="preserve">See </w:t>
      </w:r>
      <w:r>
        <w:rPr>
          <w:rFonts w:ascii="Times New Roman;serif" w:hAnsi="Times New Roman;serif"/>
          <w:b/>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in the 2025 Annual Report on Form 10-K filed with the SEC. No material changes have occurred related to the disclosures about market risk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of Southwest Gas Holdings and Southwest Gas has established disclosure controls and procedures (as defined in Rules 13a-15(e) and 15d-15(e) under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most recent evaluation, as of June 30, 2026, our Chief Executive Officer and Chief Financial Officer have concluded Southwest Gas Holdings’ and Southwest Gas’ disclosure controls and procedures were effective at attaining the level of reasonable assurance noted above.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Remediation of Previously Reported Material Weakness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reported on the Form 10-K filed for December 31, 2025, management identified a material weakness in internal control over financial reporting at Southwest Gas Holdings as the Company did not design and maintain an effective control to assess the impact on estimated future state income tax apportionment rates upon a significant change in the business and structure in interim periods. This material weakness resulted in misstatements to income tax expense and deferred income tax liabilities, and in the restatement of the Company’s previously issued unaudited quarterly financial information as of and for the three and six months ended June 30, 2025 and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In response, management expanded our internal control framework over income tax accounting by modifying the control activities related to state income tax apportionment rates. This expansion included the implementation of a formal interim review control designed to identify, assess, and document the impact of any significant changes in the Company’s organizational or operational structure on apportionment methodologies and rates. This control evaluates the impact of significant changes in the business and structure on estimated future state income tax apportionment rates and related tax accounts and is subject to review by appropriate personnel.</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concluded that the actions taken to strengthen our internal control over financial reporting, as well as the results of our testing over the design and operating effectiveness of these controls, have remediated the previously identified material weakness as of June 30, 2026.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implemented a new financial close, consolidation, and reporting system as part of its financial reporting transformation initiative. The implementation resulted in a change to the Company's internal control over financial reporting by replacing certain manual financial statement consolidation and reporting processes with automated processes and controls.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enhanced certain existing internal controls and implemented new controls related to financial consolidation and reporting processes, user access management, change management, and the completeness and accuracy of financial data. In addition, management is considering future enhancements related to the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will continue to evaluate and monitor the design and operating effectiveness of the new and modified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than the changes outlined above associated with the implementation of the new financial close, consolidation, and reporting system, there have been no changes in Southwest Gas Holdings’ internal control over financial reporting (as defined in Rules 13a-15(f) and 15d-15(f) of the Exchange Act) during the second quarter of 2026 that have materially affected, or are likely to materially affect the Southwest Gas Holdings’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Southwest Gas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changes outlined above associated with the implementation of the new financial close, consolidation, and reporting system, there have been no changes in Southwest Gas’ internal control over financial reporting (as defined in Rules 13a-15(f) and 15d-15(f) of the Exchange Act) during the second quarter of 2026 that have materially affected, or are likely to materially affect Southwest Gas’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Southwest Gas are named as defendants in various legal proceedings. The ultimate dispositions of these proceedings are not presently determinable; however, it is the opinion of management that none of these legal proceedings individually or in the aggregate have had or will have a material adverse impact on the Company’s or Southwest Gas’ financial position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1A. </w:t>
      </w:r>
      <w:r>
        <w:rPr>
          <w:rFonts w:ascii="Times New Roman;serif" w:hAnsi="Times New Roman;serif"/>
          <w:b w:val="false"/>
          <w:color w:val="000000"/>
          <w:sz w:val="20"/>
        </w:rPr>
        <w:t>As of June 30, 2026, there have been no material changes to the risk factors previously disclosed in response to “Part I - Item1A. ‘Risk Factors’” in our Annual Report on Form 10-K for the year ended December 31, 2025.</w:t>
      </w:r>
    </w:p>
    <w:p>
      <w:pPr>
        <w:pStyle w:val="TextBody"/>
        <w:bidi w:val="0"/>
        <w:spacing w:lineRule="auto" w:line="288" w:before="120" w:after="283"/>
        <w:jc w:val="both"/>
        <w:rPr/>
      </w:pPr>
      <w:r>
        <w:rPr>
          <w:rFonts w:ascii="Times New Roman;serif" w:hAnsi="Times New Roman;serif"/>
          <w:b/>
          <w:color w:val="000000"/>
          <w:sz w:val="20"/>
        </w:rPr>
        <w:t xml:space="preserve">ITEM 2 through 3. </w:t>
      </w: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4. MINE SAFETY DISCLOSURES</w:t>
      </w:r>
      <w:r>
        <w:rPr>
          <w:color w:val="000000"/>
        </w:rPr>
        <w:t xml:space="preserve"> </w:t>
      </w: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5. OTHER INFORMATION</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ITEM 5(a) and 5(b).</w:t>
      </w:r>
      <w:r>
        <w:rPr>
          <w:color w:val="000000"/>
        </w:rPr>
        <w:t xml:space="preserve"> </w:t>
      </w:r>
      <w:r>
        <w:rPr>
          <w:rFonts w:ascii="Times New Roman;serif" w:hAnsi="Times New Roman;serif"/>
          <w:b w:val="false"/>
          <w:color w:val="000000"/>
          <w:sz w:val="20"/>
        </w:rPr>
        <w:t>None.</w:t>
      </w:r>
    </w:p>
    <w:p>
      <w:pPr>
        <w:pStyle w:val="TextBody"/>
        <w:bidi w:val="0"/>
        <w:spacing w:lineRule="auto" w:line="288" w:before="120" w:after="283"/>
        <w:jc w:val="both"/>
        <w:rPr/>
      </w:pPr>
      <w:r>
        <w:rPr>
          <w:rFonts w:ascii="Times New Roman;serif" w:hAnsi="Times New Roman;serif"/>
          <w:b/>
          <w:color w:val="000000"/>
          <w:sz w:val="20"/>
        </w:rPr>
        <w:t>ITEM 5(c).</w:t>
      </w:r>
      <w:r>
        <w:rPr>
          <w:color w:val="000000"/>
        </w:rPr>
        <w:t xml:space="preserve"> </w:t>
      </w:r>
      <w:r>
        <w:rPr>
          <w:rFonts w:ascii="Times New Roman;serif" w:hAnsi="Times New Roman;serif"/>
          <w:b w:val="false"/>
          <w:color w:val="000000"/>
          <w:sz w:val="20"/>
        </w:rPr>
        <w:t xml:space="preserve">During the fiscal quarter ended June 30, 2026, none of our directors or officers (as defined in Rule 16a-1(f) of the Exchange Act) adopted, modified or terminated a “Rule 10b5-1 trading arrangement” or “non-Rule 10b5-1 trading arrangement,” as those terms are defined under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left"/>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or furnished, as applicable, as part of this report on Form 10-Q:</w:t>
      </w:r>
    </w:p>
    <w:tbl>
      <w:tblPr>
        <w:tblW w:w="10205" w:type="dxa"/>
        <w:jc w:val="left"/>
        <w:tblInd w:w="0" w:type="dxa"/>
        <w:tblLayout w:type="fixed"/>
        <w:tblCellMar>
          <w:top w:w="28" w:type="dxa"/>
          <w:left w:w="28" w:type="dxa"/>
          <w:bottom w:w="28" w:type="dxa"/>
          <w:right w:w="28" w:type="dxa"/>
        </w:tblCellMar>
      </w:tblPr>
      <w:tblGrid>
        <w:gridCol w:w="280"/>
        <w:gridCol w:w="246"/>
        <w:gridCol w:w="248"/>
        <w:gridCol w:w="109"/>
        <w:gridCol w:w="109"/>
        <w:gridCol w:w="109"/>
        <w:gridCol w:w="2945"/>
        <w:gridCol w:w="2889"/>
        <w:gridCol w:w="2894"/>
        <w:gridCol w:w="109"/>
        <w:gridCol w:w="109"/>
        <w:gridCol w:w="158"/>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wxexhibit310163026.htm">
              <w:r>
                <w:rPr>
                  <w:rStyle w:val="InternetLink"/>
                  <w:rFonts w:ascii="Times New Roman;serif" w:hAnsi="Times New Roman;serif"/>
                  <w:b w:val="false"/>
                  <w:color w:val="0000FF"/>
                  <w:sz w:val="20"/>
                  <w:u w:val="single"/>
                </w:rPr>
                <w:t>Section 302 Certifications–Southwest Gas Holdings, Inc.</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wxexhibit310263026.htm">
              <w:r>
                <w:rPr>
                  <w:rStyle w:val="InternetLink"/>
                  <w:rFonts w:ascii="Times New Roman;serif" w:hAnsi="Times New Roman;serif"/>
                  <w:b w:val="false"/>
                  <w:color w:val="0000FF"/>
                  <w:sz w:val="20"/>
                  <w:u w:val="single"/>
                </w:rPr>
                <w:t>Section 302 Certifications–Southwest Gas Corporation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wxexhibit320163026.htm">
              <w:r>
                <w:rPr>
                  <w:rStyle w:val="InternetLink"/>
                  <w:rFonts w:ascii="Times New Roman;serif" w:hAnsi="Times New Roman;serif"/>
                  <w:b w:val="false"/>
                  <w:color w:val="0000FF"/>
                  <w:sz w:val="20"/>
                  <w:u w:val="single"/>
                </w:rPr>
                <w:t>Section 906 Certifications–Southwest Gas Holdings, Inc.</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wxexhibit320263026.htm">
              <w:r>
                <w:rPr>
                  <w:rStyle w:val="InternetLink"/>
                  <w:rFonts w:ascii="Times New Roman;serif" w:hAnsi="Times New Roman;serif"/>
                  <w:b w:val="false"/>
                  <w:color w:val="0000FF"/>
                  <w:sz w:val="20"/>
                  <w:u w:val="single"/>
                </w:rPr>
                <w:t>Section 906 Certifications–Southwest Gas Corporation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the Quarterly Report on Form 10-Q of Southwest Gas Holdings, Inc. and Southwest Gas Corporation for the quarter ended June 30, 2026, were formatted in Inline XBRL (Extensible Business Reporting Language): (i) Southwest Gas Holdings, Inc. and Subsidiaries Condensed Consolidated Balance Sheets, (ii) Southwest Gas Holdings, Inc. and Subsidiaries Condensed Consolidated Statements of Income, (iii) Southwest Gas Holdings, Inc. and Subsidiaries Condensed Consolidated Statements of Comprehensive Income, (iv) Southwest Gas Holdings, Inc. and Subsidiaries Condensed Consolidated Statements of Cash Flows, (v) Southwest Gas Holdings, Inc. and Subsidiaries Condensed Consolidated Statements of Equity, (vi) Southwest Gas Corporation and Subsidiaries Condensed Consolidated Balance Sheets, (vii) Southwest Gas Corporation and Subsidiaries Condensed Consolidated Statements of Income, (viii) Southwest Gas Corporation and Subsidiaries Condensed Consolidated Statements of Comprehensive Income, (ix) 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83" w:type="dxa"/>
        <w:jc w:val="center"/>
        <w:tblInd w:w="0" w:type="dxa"/>
        <w:tblLayout w:type="fixed"/>
        <w:tblCellMar>
          <w:top w:w="28" w:type="dxa"/>
          <w:left w:w="28" w:type="dxa"/>
          <w:bottom w:w="28" w:type="dxa"/>
          <w:right w:w="28" w:type="dxa"/>
        </w:tblCellMar>
      </w:tblPr>
      <w:tblGrid>
        <w:gridCol w:w="1146"/>
        <w:gridCol w:w="1007"/>
        <w:gridCol w:w="1012"/>
        <w:gridCol w:w="109"/>
        <w:gridCol w:w="109"/>
        <w:gridCol w:w="109"/>
        <w:gridCol w:w="377"/>
        <w:gridCol w:w="377"/>
        <w:gridCol w:w="53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10-Q</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SOUTHWEST GAS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534" w:type="dxa"/>
        <w:jc w:val="left"/>
        <w:tblInd w:w="0" w:type="dxa"/>
        <w:tblLayout w:type="fixed"/>
        <w:tblCellMar>
          <w:top w:w="28" w:type="dxa"/>
          <w:left w:w="28" w:type="dxa"/>
          <w:bottom w:w="28" w:type="dxa"/>
          <w:right w:w="28" w:type="dxa"/>
        </w:tblCellMar>
      </w:tblPr>
      <w:tblGrid>
        <w:gridCol w:w="811"/>
        <w:gridCol w:w="713"/>
        <w:gridCol w:w="1010"/>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r>
      <w:tr>
        <w:trPr/>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tbl>
      <w:tblPr>
        <w:tblW w:w="4680" w:type="dxa"/>
        <w:jc w:val="left"/>
        <w:tblInd w:w="0" w:type="dxa"/>
        <w:tblLayout w:type="fixed"/>
        <w:tblCellMar>
          <w:top w:w="28" w:type="dxa"/>
          <w:left w:w="28" w:type="dxa"/>
          <w:bottom w:w="28" w:type="dxa"/>
          <w:right w:w="28" w:type="dxa"/>
        </w:tblCellMar>
      </w:tblPr>
      <w:tblGrid>
        <w:gridCol w:w="1497"/>
        <w:gridCol w:w="1317"/>
        <w:gridCol w:w="1866"/>
      </w:tblGrid>
      <w:tr>
        <w:trPr/>
        <w:tc>
          <w:tcPr>
            <w:tcW w:w="14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FABIO A. PINEDA</w:t>
            </w:r>
          </w:p>
        </w:tc>
      </w:tr>
      <w:tr>
        <w:trPr/>
        <w:tc>
          <w:tcPr>
            <w:tcW w:w="4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Fabio A. Pineda</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President/Controller and Chief Accounting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384" w:type="dxa"/>
        <w:jc w:val="left"/>
        <w:tblInd w:w="0" w:type="dxa"/>
        <w:tblLayout w:type="fixed"/>
        <w:tblCellMar>
          <w:top w:w="28" w:type="dxa"/>
          <w:left w:w="28" w:type="dxa"/>
          <w:bottom w:w="28" w:type="dxa"/>
          <w:right w:w="28" w:type="dxa"/>
        </w:tblCellMar>
      </w:tblPr>
      <w:tblGrid>
        <w:gridCol w:w="763"/>
        <w:gridCol w:w="670"/>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w:t>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tbl>
      <w:tblPr>
        <w:tblW w:w="4680" w:type="dxa"/>
        <w:jc w:val="left"/>
        <w:tblInd w:w="0" w:type="dxa"/>
        <w:tblLayout w:type="fixed"/>
        <w:tblCellMar>
          <w:top w:w="28" w:type="dxa"/>
          <w:left w:w="28" w:type="dxa"/>
          <w:bottom w:w="28" w:type="dxa"/>
          <w:right w:w="28" w:type="dxa"/>
        </w:tblCellMar>
      </w:tblPr>
      <w:tblGrid>
        <w:gridCol w:w="1497"/>
        <w:gridCol w:w="1317"/>
        <w:gridCol w:w="1866"/>
      </w:tblGrid>
      <w:tr>
        <w:trPr/>
        <w:tc>
          <w:tcPr>
            <w:tcW w:w="14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FABIO A. PINEDA</w:t>
            </w:r>
          </w:p>
        </w:tc>
      </w:tr>
      <w:tr>
        <w:trPr/>
        <w:tc>
          <w:tcPr>
            <w:tcW w:w="4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Fabio A. Pineda</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President/Controller and Chief Accounting Officer</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Southwest Gas Holdings,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Justin L. Brown,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Southwest Gas Holdings,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Dated: August 5, 2026 </w:t>
      </w:r>
    </w:p>
    <w:tbl>
      <w:tblPr>
        <w:tblW w:w="3551" w:type="dxa"/>
        <w:jc w:val="left"/>
        <w:tblInd w:w="0" w:type="dxa"/>
        <w:tblLayout w:type="fixed"/>
        <w:tblCellMar>
          <w:top w:w="28" w:type="dxa"/>
          <w:left w:w="28" w:type="dxa"/>
          <w:bottom w:w="28" w:type="dxa"/>
          <w:right w:w="28" w:type="dxa"/>
        </w:tblCellMar>
      </w:tblPr>
      <w:tblGrid>
        <w:gridCol w:w="124"/>
        <w:gridCol w:w="109"/>
        <w:gridCol w:w="109"/>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Southwest Gas Holdings,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Justin S. Forsberg,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Southwest Gas Holdings,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Dated: August 5, 2026 </w:t>
      </w:r>
    </w:p>
    <w:tbl>
      <w:tblPr>
        <w:tblW w:w="4152" w:type="dxa"/>
        <w:jc w:val="left"/>
        <w:tblInd w:w="0" w:type="dxa"/>
        <w:tblLayout w:type="fixed"/>
        <w:tblCellMar>
          <w:top w:w="28" w:type="dxa"/>
          <w:left w:w="28" w:type="dxa"/>
          <w:bottom w:w="28" w:type="dxa"/>
          <w:right w:w="28" w:type="dxa"/>
        </w:tblCellMar>
      </w:tblPr>
      <w:tblGrid>
        <w:gridCol w:w="124"/>
        <w:gridCol w:w="109"/>
        <w:gridCol w:w="109"/>
        <w:gridCol w:w="1114"/>
        <w:gridCol w:w="1114"/>
        <w:gridCol w:w="1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Southwest Gas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Justin L. Brown,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Southwest Gas Corporation;</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spacing w:lineRule="auto" w:line="288" w:before="0" w:after="0"/>
        <w:jc w:val="left"/>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24"/>
        <w:gridCol w:w="109"/>
        <w:gridCol w:w="109"/>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Corporation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Southwest Gas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Justin S. Forsberg,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Southwest Gas Corporation;</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tbl>
      <w:tblPr>
        <w:tblW w:w="4152" w:type="dxa"/>
        <w:jc w:val="left"/>
        <w:tblInd w:w="0" w:type="dxa"/>
        <w:tblLayout w:type="fixed"/>
        <w:tblCellMar>
          <w:top w:w="28" w:type="dxa"/>
          <w:left w:w="28" w:type="dxa"/>
          <w:bottom w:w="28" w:type="dxa"/>
          <w:right w:w="28" w:type="dxa"/>
        </w:tblCellMar>
      </w:tblPr>
      <w:tblGrid>
        <w:gridCol w:w="124"/>
        <w:gridCol w:w="109"/>
        <w:gridCol w:w="109"/>
        <w:gridCol w:w="1114"/>
        <w:gridCol w:w="1114"/>
        <w:gridCol w:w="1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Gas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32.01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periodic report of Southwest Gas Holdings, Inc. (the “Company”) on Form 10-Q for the period ended June 30, 2026 as filed with the Securities and Exchange Commission (the “Report”), I, Justin L. Brown, the President and Chief Executive Officer of the Company, hereby certify as of the date hereof, solely for purposes of Title 18, Chapter 63, Section 1350 of the United States Code,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has not been, and shall not be deemed, “filed” with the Securities and Exchange Commission.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spacing w:lineRule="auto" w:line="288" w:before="0" w:after="0"/>
        <w:jc w:val="left"/>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L. Brown</w:t>
              <w:br/>
              <w:t>President and Chief Executive Officer</w:t>
              <w:br/>
              <w:t>Southwest Gas Holdings, Inc.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periodic report of Southwest Gas Holdings, Inc. (the “Company”) on Form 10-Q for the period ended June 30, 2026 as filed with the Securities and Exchange Commission (the “Report”), I, Justin S. Forsberg, Senior Vice President/Chief Financial Officer and Treasurer of the Company, hereby certify as of the date hereof, solely for purposes of Title 18, Chapter 63, Section 1350 of the United States Code,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has not been, and shall not be deemed, “filed” with the Securities and Exchange Commission.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spacing w:lineRule="auto" w:line="288" w:before="0" w:after="0"/>
        <w:jc w:val="left"/>
        <w:rPr>
          <w:color w:val="000000"/>
        </w:rPr>
      </w:pPr>
      <w:r>
        <w:rPr>
          <w:color w:val="000000"/>
        </w:rPr>
        <w:t> </w:t>
      </w:r>
    </w:p>
    <w:tbl>
      <w:tblPr>
        <w:tblW w:w="5291" w:type="dxa"/>
        <w:jc w:val="left"/>
        <w:tblInd w:w="0" w:type="dxa"/>
        <w:tblLayout w:type="fixed"/>
        <w:tblCellMar>
          <w:top w:w="28" w:type="dxa"/>
          <w:left w:w="28" w:type="dxa"/>
          <w:bottom w:w="28" w:type="dxa"/>
          <w:right w:w="28" w:type="dxa"/>
        </w:tblCellMar>
      </w:tblPr>
      <w:tblGrid>
        <w:gridCol w:w="124"/>
        <w:gridCol w:w="109"/>
        <w:gridCol w:w="109"/>
        <w:gridCol w:w="1445"/>
        <w:gridCol w:w="1445"/>
        <w:gridCol w:w="2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Justin S. Forsberg</w:t>
              <w:br/>
              <w:t>Senior Vice President/Chief Financial Officer and Treasurer</w:t>
              <w:br/>
              <w:t>Southwest Gas Holdings,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32.02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SOUTHWEST GAS CORPORATION</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periodic report of Southwest Gas Corporation on Form 10-Q for the period ended June 30, 2026 as filed with the Securities and Exchange Commission (the “Report”), I, Justin L. Brown, the President and Chief Executive Officer of Southwest Gas Corporation, hereby certify as of the date hereof, solely for purposes of Title 18, Chapter 63, Section 1350 of the United States Code, that to the best of my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Southwest Gas Corporation at the dates and for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has not been, and shall not be deemed, “filed” with the Securities and Exchange Commission.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spacing w:lineRule="auto" w:line="288" w:before="0" w:after="0"/>
        <w:jc w:val="left"/>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L.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L. Brown</w:t>
              <w:br/>
              <w:t>President and Chief Executive Officer</w:t>
              <w:br/>
              <w:t>Southwest Gas Corporation</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SOUTHWEST GAS CORPORATION</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periodic report of Southwest Gas Corporation on Form 10-Q for the period ended June 30, 2026 as filed with the Securities and Exchange Commission (the “Report”), I, Justin S. Forsberg, Senior Vice President/Chief Financial Officer and Treasurer of Southwest Gas Corporation, hereby certify as of the date hereof, solely for purposes of Title 18, Chapter 63, Section 1350 of the United States Code, that to the best of my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Southwest Gas Corporation at the dates and for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has not been, and shall not be deemed, “filed” with the Securities and Exchange Commission.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5, 2026 </w:t>
      </w:r>
    </w:p>
    <w:p>
      <w:pPr>
        <w:pStyle w:val="TextBody"/>
        <w:bidi w:val="0"/>
        <w:spacing w:lineRule="auto" w:line="288" w:before="0" w:after="0"/>
        <w:jc w:val="left"/>
        <w:rPr>
          <w:color w:val="000000"/>
        </w:rPr>
      </w:pPr>
      <w:r>
        <w:rPr>
          <w:color w:val="000000"/>
        </w:rPr>
        <w:t> </w:t>
      </w:r>
    </w:p>
    <w:tbl>
      <w:tblPr>
        <w:tblW w:w="5291" w:type="dxa"/>
        <w:jc w:val="left"/>
        <w:tblInd w:w="0" w:type="dxa"/>
        <w:tblLayout w:type="fixed"/>
        <w:tblCellMar>
          <w:top w:w="28" w:type="dxa"/>
          <w:left w:w="28" w:type="dxa"/>
          <w:bottom w:w="28" w:type="dxa"/>
          <w:right w:w="28" w:type="dxa"/>
        </w:tblCellMar>
      </w:tblPr>
      <w:tblGrid>
        <w:gridCol w:w="124"/>
        <w:gridCol w:w="109"/>
        <w:gridCol w:w="109"/>
        <w:gridCol w:w="1445"/>
        <w:gridCol w:w="1445"/>
        <w:gridCol w:w="2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Justin S. Forsberg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Justin S. Forsberg</w:t>
              <w:br/>
              <w:t>Senior Vice President/Chief Financial Officer and Treasurer</w:t>
              <w:br/>
              <w:t>Southwest Gas Corporation</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22715</Words>
  <Characters>131314</Characters>
  <CharactersWithSpaces>152322</CharactersWithSpaces>
  <Paragraphs>3905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