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80"/>
        <w:spacing w:after="0"/>
        <w:rPr>
          <w:sz w:val="20"/>
          <w:szCs w:val="20"/>
          <w:color w:val="auto"/>
        </w:rPr>
      </w:pPr>
      <w:r>
        <w:rPr>
          <w:rFonts w:ascii="Courier New" w:cs="Courier New" w:eastAsia="Courier New" w:hAnsi="Courier New"/>
          <w:sz w:val="18"/>
          <w:szCs w:val="18"/>
          <w:color w:val="auto"/>
        </w:rPr>
        <w:t>SECURITIES AND EXCHANGE COMMISSION</w:t>
      </w: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Under the Securities Exchange Act of 1934 (Amendment No. 4)</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Southwest Gas Corporation</w:t>
      </w:r>
    </w:p>
    <w:p>
      <w:pPr>
        <w:ind w:left="25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Common Stock Par Value $1.00 Per Share</w:t>
      </w:r>
    </w:p>
    <w:p>
      <w:pPr>
        <w:jc w:val="center"/>
        <w:ind w:right="34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844895102</w:t>
      </w:r>
    </w:p>
    <w:p>
      <w:pPr>
        <w:ind w:left="26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James E. McKee, Gabelli Funds, Inc.,</w:t>
      </w:r>
    </w:p>
    <w:p>
      <w:pPr>
        <w:spacing w:after="0" w:line="4" w:lineRule="exact"/>
        <w:rPr>
          <w:sz w:val="24"/>
          <w:szCs w:val="24"/>
          <w:color w:val="auto"/>
        </w:rPr>
      </w:pPr>
    </w:p>
    <w:p>
      <w:pPr>
        <w:jc w:val="center"/>
        <w:ind w:right="3479"/>
        <w:spacing w:after="0" w:line="236" w:lineRule="auto"/>
        <w:rPr>
          <w:sz w:val="20"/>
          <w:szCs w:val="20"/>
          <w:color w:val="auto"/>
        </w:rPr>
      </w:pPr>
      <w:r>
        <w:rPr>
          <w:rFonts w:ascii="Courier New" w:cs="Courier New" w:eastAsia="Courier New" w:hAnsi="Courier New"/>
          <w:sz w:val="18"/>
          <w:szCs w:val="18"/>
          <w:color w:val="auto"/>
        </w:rPr>
        <w:t>One Corporate Center, Rye, NY 10580-1434 (914) 921-5294 (Name, Address and Telephone Number of Person Authorized to Receive Notices and Communications)</w:t>
      </w:r>
    </w:p>
    <w:p>
      <w:pPr>
        <w:spacing w:after="0" w:line="200" w:lineRule="exact"/>
        <w:rPr>
          <w:sz w:val="24"/>
          <w:szCs w:val="24"/>
          <w:color w:val="auto"/>
        </w:rPr>
      </w:pPr>
    </w:p>
    <w:p>
      <w:pPr>
        <w:spacing w:after="0" w:line="206"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January 30, 1998</w:t>
      </w:r>
    </w:p>
    <w:p>
      <w:pPr>
        <w:jc w:val="center"/>
        <w:ind w:right="33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w:t>
      </w:r>
    </w:p>
    <w:p>
      <w:pPr>
        <w:ind w:left="5900"/>
        <w:spacing w:after="0"/>
        <w:rPr>
          <w:sz w:val="20"/>
          <w:szCs w:val="20"/>
          <w:color w:val="auto"/>
        </w:rPr>
      </w:pPr>
      <w:r>
        <w:rPr>
          <w:rFonts w:ascii="Courier New" w:cs="Courier New" w:eastAsia="Courier New" w:hAnsi="Courier New"/>
          <w:sz w:val="18"/>
          <w:szCs w:val="18"/>
          <w:color w:val="auto"/>
        </w:rPr>
        <w:t>____</w:t>
      </w:r>
    </w:p>
    <w:p>
      <w:pPr>
        <w:ind w:left="5800"/>
        <w:spacing w:after="0" w:line="237" w:lineRule="auto"/>
        <w:rPr>
          <w:sz w:val="20"/>
          <w:szCs w:val="20"/>
          <w:color w:val="auto"/>
        </w:rPr>
      </w:pPr>
      <w:r>
        <w:rPr>
          <w:rFonts w:ascii="Courier New" w:cs="Courier New" w:eastAsia="Courier New" w:hAnsi="Courier New"/>
          <w:sz w:val="18"/>
          <w:szCs w:val="18"/>
          <w:color w:val="auto"/>
        </w:rPr>
        <w:t>/___/</w:t>
      </w: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I.R.S. IDENTIFICATION NOS. OF ABOVE PERSONS (ENTITIES ONLY)</w:t>
      </w:r>
    </w:p>
    <w:p>
      <w:pPr>
        <w:spacing w:after="0" w:line="16" w:lineRule="exact"/>
        <w:rPr>
          <w:sz w:val="24"/>
          <w:szCs w:val="24"/>
          <w:color w:val="auto"/>
        </w:rPr>
      </w:pPr>
    </w:p>
    <w:p>
      <w:pPr>
        <w:ind w:left="640"/>
        <w:spacing w:after="0"/>
        <w:tabs>
          <w:tab w:leader="none" w:pos="3880" w:val="left"/>
        </w:tabs>
        <w:rPr>
          <w:sz w:val="20"/>
          <w:szCs w:val="20"/>
          <w:color w:val="auto"/>
        </w:rPr>
      </w:pPr>
      <w:r>
        <w:rPr>
          <w:rFonts w:ascii="Courier New" w:cs="Courier New" w:eastAsia="Courier New" w:hAnsi="Courier New"/>
          <w:sz w:val="18"/>
          <w:szCs w:val="18"/>
          <w:color w:val="auto"/>
        </w:rPr>
        <w:t>Gabelli Funds, Inc.</w:t>
      </w:r>
      <w:r>
        <w:rPr>
          <w:sz w:val="20"/>
          <w:szCs w:val="20"/>
          <w:color w:val="auto"/>
        </w:rPr>
        <w:tab/>
      </w:r>
      <w:r>
        <w:rPr>
          <w:rFonts w:ascii="Courier New" w:cs="Courier New" w:eastAsia="Courier New" w:hAnsi="Courier New"/>
          <w:sz w:val="16"/>
          <w:szCs w:val="16"/>
          <w:color w:val="auto"/>
        </w:rPr>
        <w:t>I.D. No. 13-3056041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(a) /___/</w:t>
      </w:r>
    </w:p>
    <w:p>
      <w:pPr>
        <w:ind w:left="5800"/>
        <w:spacing w:after="0" w:line="237" w:lineRule="auto"/>
        <w:rPr>
          <w:sz w:val="20"/>
          <w:szCs w:val="20"/>
          <w:color w:val="auto"/>
        </w:rPr>
      </w:pPr>
      <w:r>
        <w:rPr>
          <w:rFonts w:ascii="Courier New" w:cs="Courier New" w:eastAsia="Courier New" w:hAnsi="Courier New"/>
          <w:sz w:val="18"/>
          <w:szCs w:val="18"/>
          <w:color w:val="auto"/>
        </w:rPr>
        <w:t>____</w:t>
      </w:r>
    </w:p>
    <w:p>
      <w:pPr>
        <w:ind w:left="5280"/>
        <w:spacing w:after="0" w:line="238" w:lineRule="auto"/>
        <w:rPr>
          <w:sz w:val="20"/>
          <w:szCs w:val="20"/>
          <w:color w:val="auto"/>
        </w:rPr>
      </w:pPr>
      <w:r>
        <w:rPr>
          <w:rFonts w:ascii="Courier New" w:cs="Courier New" w:eastAsia="Courier New" w:hAnsi="Courier New"/>
          <w:sz w:val="18"/>
          <w:szCs w:val="18"/>
          <w:color w:val="auto"/>
        </w:rPr>
        <w:t>(b) /___/</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rPr>
          <w:sz w:val="20"/>
          <w:szCs w:val="20"/>
          <w:color w:val="auto"/>
        </w:rPr>
      </w:pPr>
      <w:r>
        <w:rPr>
          <w:rFonts w:ascii="Courier New" w:cs="Courier New" w:eastAsia="Courier New" w:hAnsi="Courier New"/>
          <w:sz w:val="18"/>
          <w:szCs w:val="18"/>
          <w:color w:val="auto"/>
        </w:rPr>
        <w:t>OO-Funds of investment company clients</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_____</w:t>
      </w:r>
    </w:p>
    <w:p>
      <w:pPr>
        <w:ind w:left="5600"/>
        <w:spacing w:after="0"/>
        <w:tabs>
          <w:tab w:leader="none" w:pos="6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4"/>
          <w:szCs w:val="24"/>
          <w:color w:val="auto"/>
        </w:rPr>
      </w:pPr>
    </w:p>
    <w:p>
      <w:pPr>
        <w:ind w:left="640" w:right="5899" w:hanging="632"/>
        <w:spacing w:after="0" w:line="235" w:lineRule="auto"/>
        <w:tabs>
          <w:tab w:leader="none" w:pos="5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654,000 (Item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5)</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4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654,000 (Item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4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(11) AGGREGATE AMOUNT BENEFICIALLY OWNED BY EACH REPORTING PERSON</w:t>
      </w:r>
    </w:p>
    <w:p>
      <w:pPr>
        <w:sectPr>
          <w:pgSz w:w="11900" w:h="16838" w:orient="portrait"/>
          <w:cols w:equalWidth="0" w:num="1">
            <w:col w:w="10219"/>
          </w:cols>
          <w:pgMar w:left="24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654,000 (Item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_____</w:t>
      </w:r>
    </w:p>
    <w:p>
      <w:pPr>
        <w:ind w:left="5600"/>
        <w:spacing w:after="0"/>
        <w:tabs>
          <w:tab w:leader="none" w:pos="5880" w:val="left"/>
        </w:tabs>
        <w:rPr>
          <w:sz w:val="20"/>
          <w:szCs w:val="20"/>
          <w:color w:val="auto"/>
        </w:rPr>
      </w:pPr>
      <w:r>
        <w:rPr>
          <w:rFonts w:ascii="Courier New" w:cs="Courier New" w:eastAsia="Courier New" w:hAnsi="Courier New"/>
          <w:sz w:val="18"/>
          <w:szCs w:val="18"/>
          <w:color w:val="auto"/>
        </w:rPr>
        <w:t>/</w:t>
        <w:tab/>
        <w:t>x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2.39%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IA,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I.R.S. IDENTIFICATION NOS. OF ABOVE PERSONS (ENTITIES ONLY)</w:t>
      </w:r>
    </w:p>
    <w:p>
      <w:pPr>
        <w:spacing w:after="0" w:line="16" w:lineRule="exact"/>
        <w:rPr>
          <w:sz w:val="20"/>
          <w:szCs w:val="20"/>
          <w:color w:val="auto"/>
        </w:rPr>
      </w:pPr>
    </w:p>
    <w:p>
      <w:pPr>
        <w:ind w:left="640"/>
        <w:spacing w:after="0"/>
        <w:tabs>
          <w:tab w:leader="none" w:pos="4300" w:val="left"/>
        </w:tabs>
        <w:rPr>
          <w:sz w:val="20"/>
          <w:szCs w:val="20"/>
          <w:color w:val="auto"/>
        </w:rPr>
      </w:pPr>
      <w:r>
        <w:rPr>
          <w:rFonts w:ascii="Courier New" w:cs="Courier New" w:eastAsia="Courier New" w:hAnsi="Courier New"/>
          <w:sz w:val="18"/>
          <w:szCs w:val="18"/>
          <w:color w:val="auto"/>
        </w:rPr>
        <w:t>GAMCO Investors, Inc.</w:t>
      </w:r>
      <w:r>
        <w:rPr>
          <w:sz w:val="20"/>
          <w:szCs w:val="20"/>
          <w:color w:val="auto"/>
        </w:rPr>
        <w:tab/>
      </w:r>
      <w:r>
        <w:rPr>
          <w:rFonts w:ascii="Courier New" w:cs="Courier New" w:eastAsia="Courier New" w:hAnsi="Courier New"/>
          <w:sz w:val="16"/>
          <w:szCs w:val="16"/>
          <w:color w:val="auto"/>
        </w:rPr>
        <w:t>I.D. No. 13-2951242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(a) /___/</w:t>
      </w:r>
    </w:p>
    <w:p>
      <w:pPr>
        <w:ind w:left="5800"/>
        <w:spacing w:after="0" w:line="237" w:lineRule="auto"/>
        <w:rPr>
          <w:sz w:val="20"/>
          <w:szCs w:val="20"/>
          <w:color w:val="auto"/>
        </w:rPr>
      </w:pPr>
      <w:r>
        <w:rPr>
          <w:rFonts w:ascii="Courier New" w:cs="Courier New" w:eastAsia="Courier New" w:hAnsi="Courier New"/>
          <w:sz w:val="18"/>
          <w:szCs w:val="18"/>
          <w:color w:val="auto"/>
        </w:rPr>
        <w:t>____</w:t>
      </w:r>
    </w:p>
    <w:p>
      <w:pPr>
        <w:ind w:left="5280"/>
        <w:spacing w:after="0" w:line="238" w:lineRule="auto"/>
        <w:rPr>
          <w:sz w:val="20"/>
          <w:szCs w:val="20"/>
          <w:color w:val="auto"/>
        </w:rPr>
      </w:pPr>
      <w:r>
        <w:rPr>
          <w:rFonts w:ascii="Courier New" w:cs="Courier New" w:eastAsia="Courier New" w:hAnsi="Courier New"/>
          <w:sz w:val="18"/>
          <w:szCs w:val="18"/>
          <w:color w:val="auto"/>
        </w:rPr>
        <w:t>(b) /___/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rPr>
          <w:sz w:val="20"/>
          <w:szCs w:val="20"/>
          <w:color w:val="auto"/>
        </w:rPr>
      </w:pPr>
      <w:r>
        <w:rPr>
          <w:rFonts w:ascii="Courier New" w:cs="Courier New" w:eastAsia="Courier New" w:hAnsi="Courier New"/>
          <w:sz w:val="18"/>
          <w:szCs w:val="18"/>
          <w:color w:val="auto"/>
        </w:rPr>
        <w:t>OO-Funds of investment advisory clients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_____</w:t>
      </w:r>
    </w:p>
    <w:p>
      <w:pPr>
        <w:ind w:left="5600"/>
        <w:spacing w:after="0"/>
        <w:tabs>
          <w:tab w:leader="none" w:pos="5880" w:val="left"/>
        </w:tabs>
        <w:rPr>
          <w:sz w:val="20"/>
          <w:szCs w:val="20"/>
          <w:color w:val="auto"/>
        </w:rPr>
      </w:pPr>
      <w:r>
        <w:rPr>
          <w:rFonts w:ascii="Courier New" w:cs="Courier New" w:eastAsia="Courier New" w:hAnsi="Courier New"/>
          <w:sz w:val="18"/>
          <w:szCs w:val="18"/>
          <w:color w:val="auto"/>
        </w:rPr>
        <w:t>/</w:t>
        <w:tab/>
        <w:t>x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589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1,845,150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1,915,150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3359" w:hanging="632"/>
        <w:spacing w:after="0" w:line="235" w:lineRule="auto"/>
        <w:tabs>
          <w:tab w:leader="none" w:pos="53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1,915,150 (Item 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w:t>
      </w:r>
    </w:p>
    <w:p>
      <w:pPr>
        <w:ind w:left="5600"/>
        <w:spacing w:after="0"/>
        <w:rPr>
          <w:sz w:val="20"/>
          <w:szCs w:val="20"/>
          <w:color w:val="auto"/>
        </w:rPr>
      </w:pPr>
      <w:r>
        <w:rPr>
          <w:rFonts w:ascii="Courier New" w:cs="Courier New" w:eastAsia="Courier New" w:hAnsi="Courier New"/>
          <w:sz w:val="18"/>
          <w:szCs w:val="18"/>
          <w:color w:val="auto"/>
        </w:rPr>
        <w:t>/___/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53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7.02%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53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20" w:right="1440" w:bottom="1440" w:gutter="0" w:footer="0" w:header="0"/>
        </w:sectPr>
      </w:pPr>
    </w:p>
    <w:bookmarkStart w:id="3" w:name="page4"/>
    <w:bookmarkEnd w:id="3"/>
    <w:p>
      <w:pPr>
        <w:spacing w:after="0" w:line="193" w:lineRule="auto"/>
        <w:framePr w:w="500" w:h="146" w:wrap="auto" w:vAnchor="page" w:hAnchor="page" w:x="5900" w:y="4572"/>
        <w:rPr>
          <w:rFonts w:ascii="Courier New" w:cs="Courier New" w:eastAsia="Courier New" w:hAnsi="Courier New"/>
          <w:sz w:val="16"/>
          <w:szCs w:val="16"/>
          <w:color w:val="auto"/>
        </w:rPr>
      </w:pPr>
      <w:r>
        <w:rPr>
          <w:rFonts w:ascii="Courier New" w:cs="Courier New" w:eastAsia="Courier New" w:hAnsi="Courier New"/>
          <w:sz w:val="16"/>
          <w:szCs w:val="16"/>
          <w:color w:val="auto"/>
        </w:rPr>
        <w:t>____</w:t>
      </w:r>
    </w:p>
    <w:p>
      <w:pPr>
        <w:spacing w:after="0" w:line="193" w:lineRule="auto"/>
        <w:framePr w:w="600" w:h="146" w:wrap="auto" w:vAnchor="page" w:hAnchor="page" w:x="5800" w:y="4775"/>
        <w:rPr>
          <w:rFonts w:ascii="Courier New" w:cs="Courier New" w:eastAsia="Courier New" w:hAnsi="Courier New"/>
          <w:sz w:val="16"/>
          <w:szCs w:val="16"/>
          <w:color w:val="auto"/>
        </w:rPr>
      </w:pPr>
      <w:r>
        <w:rPr>
          <w:rFonts w:ascii="Courier New" w:cs="Courier New" w:eastAsia="Courier New" w:hAnsi="Courier New"/>
          <w:sz w:val="16"/>
          <w:szCs w:val="16"/>
          <w:color w:val="auto"/>
        </w:rPr>
        <w:t>/___/</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01"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ind w:left="640"/>
        <w:spacing w:after="0"/>
        <w:tabs>
          <w:tab w:leader="none" w:pos="4300" w:val="left"/>
        </w:tabs>
        <w:rPr>
          <w:sz w:val="20"/>
          <w:szCs w:val="20"/>
          <w:color w:val="auto"/>
        </w:rPr>
      </w:pPr>
      <w:r>
        <w:rPr>
          <w:rFonts w:ascii="Courier New" w:cs="Courier New" w:eastAsia="Courier New" w:hAnsi="Courier New"/>
          <w:sz w:val="18"/>
          <w:szCs w:val="18"/>
          <w:color w:val="auto"/>
        </w:rPr>
        <w:t>Gabelli Securities, Inc.</w:t>
      </w:r>
      <w:r>
        <w:rPr>
          <w:sz w:val="20"/>
          <w:szCs w:val="20"/>
          <w:color w:val="auto"/>
        </w:rPr>
        <w:tab/>
      </w:r>
      <w:r>
        <w:rPr>
          <w:rFonts w:ascii="Courier New" w:cs="Courier New" w:eastAsia="Courier New" w:hAnsi="Courier New"/>
          <w:sz w:val="16"/>
          <w:szCs w:val="16"/>
          <w:color w:val="auto"/>
        </w:rPr>
        <w:t>I.D. No. 13-3379374</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rPr>
          <w:sz w:val="20"/>
          <w:szCs w:val="20"/>
          <w:color w:val="auto"/>
        </w:rPr>
      </w:pPr>
      <w:r>
        <w:rPr>
          <w:rFonts w:ascii="Courier New" w:cs="Courier New" w:eastAsia="Courier New" w:hAnsi="Courier New"/>
          <w:sz w:val="18"/>
          <w:szCs w:val="18"/>
          <w:color w:val="auto"/>
        </w:rPr>
        <w:t>____</w:t>
      </w:r>
    </w:p>
    <w:p>
      <w:pPr>
        <w:ind w:left="5280"/>
        <w:spacing w:after="0" w:line="237" w:lineRule="auto"/>
        <w:rPr>
          <w:sz w:val="20"/>
          <w:szCs w:val="20"/>
          <w:color w:val="auto"/>
        </w:rPr>
      </w:pPr>
      <w:r>
        <w:rPr>
          <w:rFonts w:ascii="Courier New" w:cs="Courier New" w:eastAsia="Courier New" w:hAnsi="Courier New"/>
          <w:sz w:val="18"/>
          <w:szCs w:val="18"/>
          <w:color w:val="auto"/>
        </w:rPr>
        <w:t>(a) /___/</w:t>
      </w:r>
    </w:p>
    <w:p>
      <w:pPr>
        <w:ind w:left="5800"/>
        <w:spacing w:after="0"/>
        <w:rPr>
          <w:sz w:val="20"/>
          <w:szCs w:val="20"/>
          <w:color w:val="auto"/>
        </w:rPr>
      </w:pPr>
      <w:r>
        <w:rPr>
          <w:rFonts w:ascii="Courier New" w:cs="Courier New" w:eastAsia="Courier New" w:hAnsi="Courier New"/>
          <w:sz w:val="18"/>
          <w:szCs w:val="18"/>
          <w:color w:val="auto"/>
        </w:rPr>
        <w:t>____</w:t>
      </w:r>
    </w:p>
    <w:p>
      <w:pPr>
        <w:ind w:left="5280"/>
        <w:spacing w:after="0" w:line="237" w:lineRule="auto"/>
        <w:rPr>
          <w:sz w:val="20"/>
          <w:szCs w:val="20"/>
          <w:color w:val="auto"/>
        </w:rPr>
      </w:pPr>
      <w:r>
        <w:rPr>
          <w:rFonts w:ascii="Courier New" w:cs="Courier New" w:eastAsia="Courier New" w:hAnsi="Courier New"/>
          <w:sz w:val="18"/>
          <w:szCs w:val="18"/>
          <w:color w:val="auto"/>
        </w:rPr>
        <w:t>(b) /___/</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540" w:hanging="532"/>
        <w:spacing w:after="0" w:line="237"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w:t>
      </w:r>
    </w:p>
    <w:p>
      <w:pPr>
        <w:ind w:left="540" w:hanging="532"/>
        <w:spacing w:after="0" w:line="238"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rPr>
          <w:sz w:val="20"/>
          <w:szCs w:val="20"/>
          <w:color w:val="auto"/>
        </w:rPr>
      </w:pPr>
      <w:r>
        <w:rPr>
          <w:rFonts w:ascii="Courier New" w:cs="Courier New" w:eastAsia="Courier New" w:hAnsi="Courier New"/>
          <w:sz w:val="18"/>
          <w:szCs w:val="18"/>
          <w:color w:val="auto"/>
        </w:rPr>
        <w:t>WC</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540" w:hanging="532"/>
        <w:spacing w:after="0" w:line="238"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rPr>
          <w:sz w:val="20"/>
          <w:szCs w:val="20"/>
          <w:color w:val="auto"/>
        </w:rPr>
      </w:pPr>
      <w:r>
        <w:rPr>
          <w:rFonts w:ascii="Courier New" w:cs="Courier New" w:eastAsia="Courier New" w:hAnsi="Courier New"/>
          <w:sz w:val="18"/>
          <w:szCs w:val="18"/>
          <w:color w:val="auto"/>
        </w:rPr>
        <w:t>REQUIRED PURSUANT TO ITEMS 2(d) or 2(e)</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4" w:lineRule="exact"/>
        <w:rPr>
          <w:rFonts w:ascii="Courier New" w:cs="Courier New" w:eastAsia="Courier New" w:hAnsi="Courier New"/>
          <w:sz w:val="16"/>
          <w:szCs w:val="16"/>
          <w:color w:val="auto"/>
        </w:rPr>
      </w:pPr>
    </w:p>
    <w:p>
      <w:pPr>
        <w:ind w:left="640" w:right="5899" w:hanging="632"/>
        <w:spacing w:after="0" w:line="235" w:lineRule="auto"/>
        <w:tabs>
          <w:tab w:leader="none" w:pos="53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tbl>
      <w:tblPr>
        <w:tblLayout w:type="fixed"/>
        <w:tblInd w:w="12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(7)</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2,500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2,500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5" w:lineRule="exact"/>
        <w:rPr>
          <w:rFonts w:ascii="Courier New" w:cs="Courier New" w:eastAsia="Courier New" w:hAnsi="Courier New"/>
          <w:sz w:val="16"/>
          <w:szCs w:val="16"/>
          <w:color w:val="auto"/>
        </w:rPr>
      </w:pPr>
    </w:p>
    <w:p>
      <w:pPr>
        <w:ind w:left="640" w:right="3359" w:hanging="632"/>
        <w:spacing w:after="0" w:line="235" w:lineRule="auto"/>
        <w:tabs>
          <w:tab w:leader="none" w:pos="53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2,500 (Item 5)</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_____</w:t>
      </w:r>
    </w:p>
    <w:p>
      <w:pPr>
        <w:ind w:left="5600"/>
        <w:spacing w:after="0" w:line="237" w:lineRule="auto"/>
        <w:tabs>
          <w:tab w:leader="none" w:pos="5880" w:val="left"/>
        </w:tabs>
        <w:rPr>
          <w:sz w:val="20"/>
          <w:szCs w:val="20"/>
          <w:color w:val="auto"/>
        </w:rPr>
      </w:pPr>
      <w:r>
        <w:rPr>
          <w:rFonts w:ascii="Courier New" w:cs="Courier New" w:eastAsia="Courier New" w:hAnsi="Courier New"/>
          <w:sz w:val="18"/>
          <w:szCs w:val="18"/>
          <w:color w:val="auto"/>
        </w:rPr>
        <w:t>/</w:t>
        <w:tab/>
        <w:t>x /**</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5" w:lineRule="exact"/>
        <w:rPr>
          <w:rFonts w:ascii="Courier New" w:cs="Courier New" w:eastAsia="Courier New" w:hAnsi="Courier New"/>
          <w:sz w:val="16"/>
          <w:szCs w:val="16"/>
          <w:color w:val="auto"/>
        </w:rPr>
      </w:pPr>
    </w:p>
    <w:p>
      <w:pPr>
        <w:ind w:left="640" w:right="4619" w:hanging="632"/>
        <w:spacing w:after="0" w:line="235" w:lineRule="auto"/>
        <w:tabs>
          <w:tab w:leader="none" w:pos="53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0.01%</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4" w:lineRule="exact"/>
        <w:rPr>
          <w:rFonts w:ascii="Courier New" w:cs="Courier New" w:eastAsia="Courier New" w:hAnsi="Courier New"/>
          <w:sz w:val="16"/>
          <w:szCs w:val="16"/>
          <w:color w:val="auto"/>
        </w:rPr>
      </w:pPr>
    </w:p>
    <w:p>
      <w:pPr>
        <w:ind w:left="640" w:right="7059" w:hanging="632"/>
        <w:spacing w:after="0" w:line="235" w:lineRule="auto"/>
        <w:tabs>
          <w:tab w:leader="none" w:pos="53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4"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stock owned beneficially by Gabelli &amp; Company and GLI.</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I.R.S. IDENTIFICATION NOS. OF ABOVE PERSONS (ENTITIES ONLY)</w:t>
      </w:r>
    </w:p>
    <w:p>
      <w:pPr>
        <w:spacing w:after="0" w:line="16" w:lineRule="exact"/>
        <w:rPr>
          <w:sz w:val="20"/>
          <w:szCs w:val="20"/>
          <w:color w:val="auto"/>
        </w:rPr>
      </w:pPr>
    </w:p>
    <w:p>
      <w:pPr>
        <w:ind w:left="540"/>
        <w:spacing w:after="0"/>
        <w:tabs>
          <w:tab w:leader="none" w:pos="4100" w:val="left"/>
        </w:tabs>
        <w:rPr>
          <w:sz w:val="20"/>
          <w:szCs w:val="20"/>
          <w:color w:val="auto"/>
        </w:rPr>
      </w:pPr>
      <w:r>
        <w:rPr>
          <w:rFonts w:ascii="Courier New" w:cs="Courier New" w:eastAsia="Courier New" w:hAnsi="Courier New"/>
          <w:sz w:val="18"/>
          <w:szCs w:val="18"/>
          <w:color w:val="auto"/>
        </w:rPr>
        <w:t>Gabelli Foundation, Inc.</w:t>
      </w:r>
      <w:r>
        <w:rPr>
          <w:sz w:val="20"/>
          <w:szCs w:val="20"/>
          <w:color w:val="auto"/>
        </w:rPr>
        <w:tab/>
      </w:r>
      <w:r>
        <w:rPr>
          <w:rFonts w:ascii="Courier New" w:cs="Courier New" w:eastAsia="Courier New" w:hAnsi="Courier New"/>
          <w:sz w:val="16"/>
          <w:szCs w:val="16"/>
          <w:color w:val="auto"/>
        </w:rPr>
        <w:t>I.D. No. 94-2975159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(a) /___/</w:t>
      </w:r>
    </w:p>
    <w:p>
      <w:pPr>
        <w:ind w:left="5800"/>
        <w:spacing w:after="0" w:line="237" w:lineRule="auto"/>
        <w:rPr>
          <w:sz w:val="20"/>
          <w:szCs w:val="20"/>
          <w:color w:val="auto"/>
        </w:rPr>
      </w:pPr>
      <w:r>
        <w:rPr>
          <w:rFonts w:ascii="Courier New" w:cs="Courier New" w:eastAsia="Courier New" w:hAnsi="Courier New"/>
          <w:sz w:val="18"/>
          <w:szCs w:val="18"/>
          <w:color w:val="auto"/>
        </w:rPr>
        <w:t>____</w:t>
      </w:r>
    </w:p>
    <w:p>
      <w:pPr>
        <w:ind w:left="5280"/>
        <w:spacing w:after="0" w:line="238" w:lineRule="auto"/>
        <w:rPr>
          <w:sz w:val="20"/>
          <w:szCs w:val="20"/>
          <w:color w:val="auto"/>
        </w:rPr>
      </w:pPr>
      <w:r>
        <w:rPr>
          <w:rFonts w:ascii="Courier New" w:cs="Courier New" w:eastAsia="Courier New" w:hAnsi="Courier New"/>
          <w:sz w:val="18"/>
          <w:szCs w:val="18"/>
          <w:color w:val="auto"/>
        </w:rPr>
        <w:t>(b) /___/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rPr>
          <w:sz w:val="20"/>
          <w:szCs w:val="20"/>
          <w:color w:val="auto"/>
        </w:rPr>
      </w:pPr>
      <w:r>
        <w:rPr>
          <w:rFonts w:ascii="Courier New" w:cs="Courier New" w:eastAsia="Courier New" w:hAnsi="Courier New"/>
          <w:sz w:val="18"/>
          <w:szCs w:val="18"/>
          <w:color w:val="auto"/>
        </w:rPr>
        <w:t>WC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w:t>
      </w:r>
    </w:p>
    <w:p>
      <w:pPr>
        <w:ind w:left="5600"/>
        <w:spacing w:after="0"/>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5899" w:hanging="632"/>
        <w:spacing w:after="0" w:line="235" w:lineRule="auto"/>
        <w:tabs>
          <w:tab w:leader="none" w:pos="53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4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4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540" w:right="3359" w:hanging="532"/>
        <w:spacing w:after="0" w:line="235"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None (Item 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_____</w:t>
      </w:r>
    </w:p>
    <w:p>
      <w:pPr>
        <w:ind w:left="5600"/>
        <w:spacing w:after="0"/>
        <w:tabs>
          <w:tab w:leader="none" w:pos="5880" w:val="left"/>
        </w:tabs>
        <w:rPr>
          <w:sz w:val="20"/>
          <w:szCs w:val="20"/>
          <w:color w:val="auto"/>
        </w:rPr>
      </w:pPr>
      <w:r>
        <w:rPr>
          <w:rFonts w:ascii="Courier New" w:cs="Courier New" w:eastAsia="Courier New" w:hAnsi="Courier New"/>
          <w:sz w:val="18"/>
          <w:szCs w:val="18"/>
          <w:color w:val="auto"/>
        </w:rPr>
        <w:t>/</w:t>
        <w:tab/>
        <w:t>x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PERCENT OF CLASS REPRESENTED BY AMOUNT IN ROW 11</w:t>
      </w:r>
    </w:p>
    <w:p>
      <w:pPr>
        <w:ind w:left="640"/>
        <w:spacing w:after="0" w:line="238" w:lineRule="auto"/>
        <w:rPr>
          <w:sz w:val="20"/>
          <w:szCs w:val="20"/>
          <w:color w:val="auto"/>
        </w:rPr>
      </w:pPr>
      <w:r>
        <w:rPr>
          <w:rFonts w:ascii="Courier New" w:cs="Courier New" w:eastAsia="Courier New" w:hAnsi="Courier New"/>
          <w:sz w:val="18"/>
          <w:szCs w:val="18"/>
          <w:color w:val="auto"/>
        </w:rPr>
        <w:t>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7059" w:hanging="632"/>
        <w:spacing w:after="0" w:line="268" w:lineRule="auto"/>
        <w:tabs>
          <w:tab w:leader="none" w:pos="53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00-PRIVATE FOUNDATION</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2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w:t>
      </w:r>
    </w:p>
    <w:p>
      <w:pPr>
        <w:ind w:left="540"/>
        <w:spacing w:after="0"/>
        <w:rPr>
          <w:sz w:val="20"/>
          <w:szCs w:val="20"/>
          <w:color w:val="auto"/>
        </w:rPr>
      </w:pPr>
      <w:r>
        <w:rPr>
          <w:rFonts w:ascii="Courier New" w:cs="Courier New" w:eastAsia="Courier New" w:hAnsi="Courier New"/>
          <w:sz w:val="18"/>
          <w:szCs w:val="18"/>
          <w:color w:val="auto"/>
        </w:rPr>
        <w:t>Mario J. Gabelli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(a) /___/</w:t>
      </w:r>
    </w:p>
    <w:p>
      <w:pPr>
        <w:ind w:left="5800"/>
        <w:spacing w:after="0" w:line="237" w:lineRule="auto"/>
        <w:rPr>
          <w:sz w:val="20"/>
          <w:szCs w:val="20"/>
          <w:color w:val="auto"/>
        </w:rPr>
      </w:pPr>
      <w:r>
        <w:rPr>
          <w:rFonts w:ascii="Courier New" w:cs="Courier New" w:eastAsia="Courier New" w:hAnsi="Courier New"/>
          <w:sz w:val="18"/>
          <w:szCs w:val="18"/>
          <w:color w:val="auto"/>
        </w:rPr>
        <w:t>____</w:t>
      </w:r>
    </w:p>
    <w:p>
      <w:pPr>
        <w:ind w:left="5280"/>
        <w:spacing w:after="0" w:line="238" w:lineRule="auto"/>
        <w:rPr>
          <w:sz w:val="20"/>
          <w:szCs w:val="20"/>
          <w:color w:val="auto"/>
        </w:rPr>
      </w:pPr>
      <w:r>
        <w:rPr>
          <w:rFonts w:ascii="Courier New" w:cs="Courier New" w:eastAsia="Courier New" w:hAnsi="Courier New"/>
          <w:sz w:val="18"/>
          <w:szCs w:val="18"/>
          <w:color w:val="auto"/>
        </w:rPr>
        <w:t>(b) /___/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rPr>
          <w:sz w:val="20"/>
          <w:szCs w:val="20"/>
          <w:color w:val="auto"/>
        </w:rPr>
      </w:pPr>
      <w:r>
        <w:rPr>
          <w:rFonts w:ascii="Courier New" w:cs="Courier New" w:eastAsia="Courier New" w:hAnsi="Courier New"/>
          <w:sz w:val="18"/>
          <w:szCs w:val="18"/>
          <w:color w:val="auto"/>
        </w:rPr>
        <w:t>None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w:t>
      </w:r>
    </w:p>
    <w:p>
      <w:pPr>
        <w:ind w:left="5600"/>
        <w:spacing w:after="0"/>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5899" w:hanging="632"/>
        <w:spacing w:after="0" w:line="235" w:lineRule="auto"/>
        <w:tabs>
          <w:tab w:leader="none" w:pos="53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38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38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38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3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540" w:right="3359" w:hanging="532"/>
        <w:spacing w:after="0" w:line="235"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None (Item 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_____</w:t>
      </w:r>
    </w:p>
    <w:p>
      <w:pPr>
        <w:ind w:left="5600"/>
        <w:spacing w:after="0"/>
        <w:tabs>
          <w:tab w:leader="none" w:pos="5880" w:val="left"/>
        </w:tabs>
        <w:rPr>
          <w:sz w:val="20"/>
          <w:szCs w:val="20"/>
          <w:color w:val="auto"/>
        </w:rPr>
      </w:pPr>
      <w:r>
        <w:rPr>
          <w:rFonts w:ascii="Courier New" w:cs="Courier New" w:eastAsia="Courier New" w:hAnsi="Courier New"/>
          <w:sz w:val="18"/>
          <w:szCs w:val="18"/>
          <w:color w:val="auto"/>
        </w:rPr>
        <w:t>/</w:t>
        <w:tab/>
        <w:t>x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53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53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20" w:right="1440" w:bottom="1440" w:gutter="0" w:footer="0" w:header="0"/>
        </w:sectPr>
      </w:pPr>
    </w:p>
    <w:bookmarkStart w:id="6" w:name="page7"/>
    <w:bookmarkEnd w:id="6"/>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4"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This Amendment No. 4 to Schedule 13D on the Common Stock of Southwest Gas Corporation (the "Issuer") is being filed on behalf of the undersigned to amend the Schedule 13D, as amended (the "Schedule 13D") which was originally filed on February 7, 1997. Unless otherwise indicated, all capitalized terms used herein but not defined herein shall have the same meaning as set forth in the Schedule 13D.</w:t>
      </w: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4" w:lineRule="exact"/>
        <w:rPr>
          <w:sz w:val="20"/>
          <w:szCs w:val="20"/>
          <w:color w:val="auto"/>
        </w:rPr>
      </w:pPr>
    </w:p>
    <w:p>
      <w:pPr>
        <w:ind w:right="3159" w:firstLine="1053"/>
        <w:spacing w:after="0" w:line="270" w:lineRule="auto"/>
        <w:rPr>
          <w:sz w:val="20"/>
          <w:szCs w:val="20"/>
          <w:color w:val="auto"/>
        </w:rPr>
      </w:pPr>
      <w:r>
        <w:rPr>
          <w:rFonts w:ascii="Courier New" w:cs="Courier New" w:eastAsia="Courier New" w:hAnsi="Courier New"/>
          <w:sz w:val="16"/>
          <w:szCs w:val="16"/>
          <w:color w:val="auto"/>
        </w:rPr>
        <w:t>This statement is being filed by Mario J. Gabelli ("Mr. Gabelli") and various entities which he directly or indirectly controls or for which he acts as chief investment officer. These entities, except for Lynch Corporation ("Lynch"), Spinnaker Industries, Incorporated ("Spinnaker"), Western New Mexico Telephone Company ("Western New Mexico"), Entoleter, Inc. ("Entole-ter"), Lynch Telecommunications Corporation ("Lynch Telecom"), Lynch Telephone Corporation ("Lynch Telephone") and Inter-Community Telephone Company ("Inter-Community") (collectively, "Lynch and its affiliates"), engage in various aspects of the securities business, primarily as investment adviser to various institutional and individual clients, including registered investment companies and pension plans, as broker/dealer and as general partner of various private investment partnerships. Certain of these entities may also make investments for their own accounts.</w:t>
      </w:r>
    </w:p>
    <w:p>
      <w:pPr>
        <w:spacing w:after="0" w:line="184"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The foregoing persons in the aggregate often own beneficially more than 5% of a class of equity securities of a particular issuer. Although several of the foregoing persons are treated as institutional investors for purposes of reporting their beneficial ownership on the short-form Schedule 13G, the holdings of those who 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spacing w:after="0" w:line="6"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(a), (b) and (c) - This statement is being filed by one or more of the following persons: Gabelli Funds, Inc. ("GFI"), GAMCO Investors, Inc. ("GAMCO"), Gabelli Securities, Inc. ("GSI"), Gabelli &amp; Company, Inc. ("Gabelli &amp; Company"), Gabelli Performance Partnership L.P. ("GPP"), GLI, Inc. ("GLI"), Gabelli Associates Fund ("Gabelli Associates"), Gabelli Associates Limited ("GAL"), Gabelli &amp; Company, Inc. Profit Sharing Plan (the "Plan"), Gabelli International Limited ("GIL"), Gabelli International II Limited ("GIL II"), Gabelli International Gold Fund Limited ("GIGFL"), ALCE Partners, L.P. ("ALCE"), Gabelli Multimedia Partners, L.P. ("Multimedia Partners"), Gemini Capital Management Ltd. ("Gemini"), Gabelli Foundation, Inc. ("Foundation"), Mr. Gabelli, Lynch, Spinnaker, Western New Mexico, Entoleter, Lynch Telecom, Lynch Telephone and Inter-Community. Those of the foregoing persons signing this Schedule 13D are hereafter referred to as the "Reporting Persons".</w:t>
      </w:r>
    </w:p>
    <w:p>
      <w:pPr>
        <w:spacing w:after="0" w:line="6"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GAMCO, a wholly-owned subsidiary of GFI, is an investment adviser registered under the Investment Advisers Act of 1940, as amended ("Advisers Act"). GAMCO is an investment manager providing discretionary managed account services in the equity area for employee benefit plans, private investors, endowments and founda-tions.</w:t>
      </w:r>
    </w:p>
    <w:p>
      <w:pPr>
        <w:spacing w:after="0" w:line="7" w:lineRule="exact"/>
        <w:rPr>
          <w:sz w:val="20"/>
          <w:szCs w:val="20"/>
          <w:color w:val="auto"/>
        </w:rPr>
      </w:pPr>
    </w:p>
    <w:p>
      <w:pPr>
        <w:ind w:right="3359" w:firstLine="1053"/>
        <w:spacing w:after="0" w:line="268" w:lineRule="auto"/>
        <w:rPr>
          <w:sz w:val="20"/>
          <w:szCs w:val="20"/>
          <w:color w:val="auto"/>
        </w:rPr>
      </w:pPr>
      <w:r>
        <w:rPr>
          <w:rFonts w:ascii="Courier New" w:cs="Courier New" w:eastAsia="Courier New" w:hAnsi="Courier New"/>
          <w:sz w:val="16"/>
          <w:szCs w:val="16"/>
          <w:color w:val="auto"/>
        </w:rPr>
        <w:t>Gabelli &amp; Company, a wholly-owned subsidiary of GSI, is a broker-dealer registered under the Securities Exchange Act of 1934, as amended ("l934 Act"), which as a part of its business regularly purchases and sells securities for its own account.</w:t>
      </w:r>
    </w:p>
    <w:p>
      <w:pPr>
        <w:spacing w:after="0" w:line="1" w:lineRule="exact"/>
        <w:rPr>
          <w:sz w:val="20"/>
          <w:szCs w:val="20"/>
          <w:color w:val="auto"/>
        </w:rPr>
      </w:pPr>
    </w:p>
    <w:p>
      <w:pPr>
        <w:ind w:right="3159" w:firstLine="1053"/>
        <w:spacing w:after="0" w:line="235" w:lineRule="auto"/>
        <w:rPr>
          <w:sz w:val="20"/>
          <w:szCs w:val="20"/>
          <w:color w:val="auto"/>
        </w:rPr>
      </w:pPr>
      <w:r>
        <w:rPr>
          <w:rFonts w:ascii="Courier New" w:cs="Courier New" w:eastAsia="Courier New" w:hAnsi="Courier New"/>
          <w:sz w:val="18"/>
          <w:szCs w:val="18"/>
          <w:color w:val="auto"/>
        </w:rPr>
        <w:t>GLI, a wholly-owned subsidiary of GSI, is the trustee for the Gabelli-Rosenthal &amp; Partners, L.P. Liquidating Trust.</w:t>
      </w:r>
    </w:p>
    <w:p>
      <w:pPr>
        <w:spacing w:after="0" w:line="6" w:lineRule="exact"/>
        <w:rPr>
          <w:sz w:val="20"/>
          <w:szCs w:val="20"/>
          <w:color w:val="auto"/>
        </w:rPr>
      </w:pPr>
    </w:p>
    <w:p>
      <w:pPr>
        <w:ind w:right="3259" w:firstLine="1053"/>
        <w:spacing w:after="0" w:line="268" w:lineRule="auto"/>
        <w:rPr>
          <w:sz w:val="20"/>
          <w:szCs w:val="20"/>
          <w:color w:val="auto"/>
        </w:rPr>
      </w:pPr>
      <w:r>
        <w:rPr>
          <w:rFonts w:ascii="Courier New" w:cs="Courier New" w:eastAsia="Courier New" w:hAnsi="Courier New"/>
          <w:sz w:val="16"/>
          <w:szCs w:val="16"/>
          <w:color w:val="auto"/>
        </w:rPr>
        <w:t>Gabelli Associates is a New York limited partnership whose primary business purpose is risk arbitrage investments. GSI and Mr. Gabelli are the general partners of Gabelli Associates.</w:t>
      </w:r>
    </w:p>
    <w:p>
      <w:pPr>
        <w:spacing w:after="0" w:line="1"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GAL is a corporation whose primary business purpose is risk arbitrage investments. Shares of GAL's Common Stock will be offered to persons who are neither citizens nor residents of the United States and may be offered to a limited number of U.S. investors. GSI is the investment manager of GAL.</w:t>
      </w:r>
    </w:p>
    <w:p>
      <w:pPr>
        <w:spacing w:after="0" w:line="6" w:lineRule="exact"/>
        <w:rPr>
          <w:sz w:val="20"/>
          <w:szCs w:val="20"/>
          <w:color w:val="auto"/>
        </w:rPr>
      </w:pPr>
    </w:p>
    <w:p>
      <w:pPr>
        <w:ind w:right="3159" w:firstLine="1053"/>
        <w:spacing w:after="0" w:line="290" w:lineRule="auto"/>
        <w:rPr>
          <w:sz w:val="20"/>
          <w:szCs w:val="20"/>
          <w:color w:val="auto"/>
        </w:rPr>
      </w:pPr>
      <w:r>
        <w:rPr>
          <w:rFonts w:ascii="Courier New" w:cs="Courier New" w:eastAsia="Courier New" w:hAnsi="Courier New"/>
          <w:sz w:val="16"/>
          <w:szCs w:val="16"/>
          <w:color w:val="auto"/>
        </w:rPr>
        <w:t>GSI, a majority-owned subsidiary of GFI, is a Delaware corporation which as a part of its business regularly purchases and</w:t>
      </w:r>
    </w:p>
    <w:p>
      <w:pPr>
        <w:sectPr>
          <w:pgSz w:w="11900" w:h="16838" w:orient="portrait"/>
          <w:cols w:equalWidth="0" w:num="1">
            <w:col w:w="10219"/>
          </w:cols>
          <w:pgMar w:left="240" w:top="514" w:right="1440" w:bottom="0" w:gutter="0" w:footer="0" w:header="0"/>
        </w:sectPr>
      </w:pPr>
    </w:p>
    <w:bookmarkStart w:id="7" w:name="page8"/>
    <w:bookmarkEnd w:id="7"/>
    <w:p>
      <w:pPr>
        <w:ind w:right="3359"/>
        <w:spacing w:after="0" w:line="235" w:lineRule="auto"/>
        <w:rPr>
          <w:sz w:val="20"/>
          <w:szCs w:val="20"/>
          <w:color w:val="auto"/>
        </w:rPr>
      </w:pPr>
      <w:r>
        <w:rPr>
          <w:rFonts w:ascii="Courier New" w:cs="Courier New" w:eastAsia="Courier New" w:hAnsi="Courier New"/>
          <w:sz w:val="18"/>
          <w:szCs w:val="18"/>
          <w:color w:val="auto"/>
        </w:rPr>
        <w:t>sells securities for its own account. It is the immediate parent of Gabelli &amp; Company.</w:t>
      </w:r>
    </w:p>
    <w:p>
      <w:pPr>
        <w:spacing w:after="0" w:line="6" w:lineRule="exact"/>
        <w:rPr>
          <w:sz w:val="20"/>
          <w:szCs w:val="20"/>
          <w:color w:val="auto"/>
        </w:rPr>
      </w:pPr>
    </w:p>
    <w:p>
      <w:pPr>
        <w:ind w:right="3259" w:firstLine="1053"/>
        <w:spacing w:after="0" w:line="238" w:lineRule="auto"/>
        <w:rPr>
          <w:sz w:val="20"/>
          <w:szCs w:val="20"/>
          <w:color w:val="auto"/>
        </w:rPr>
      </w:pPr>
      <w:r>
        <w:rPr>
          <w:rFonts w:ascii="Courier New" w:cs="Courier New" w:eastAsia="Courier New" w:hAnsi="Courier New"/>
          <w:sz w:val="18"/>
          <w:szCs w:val="18"/>
          <w:color w:val="auto"/>
        </w:rPr>
        <w:t>GFI is the ultimate parent company for a variety of companies engaged in the securities business, each of which is named above. In addition, GFI is an investment adviser registered under the Advisers Act. GFI is an investment adviser which presently provides discretionary managed account services for The Gabelli Equity Trust Inc., The Gabelli Asset Fund, The Gabelli Growth Fund, The Gabelli Convertible Securities Fund, Inc., The Gabelli Value Fund Inc., The Gabelli Small Cap Growth Fund, The Gabelli Equity Income Fund, The Gabelli ABC Fund, The Gabelli Global Telecommunications Fund, Gabelli Gold Fund, Inc., The Gabelli Global Multimedia Trust Inc., The Gabelli Global Convert-ible Securities Fund, Gabelli Capital Asset Fund, Gabelli Interna-tional Growth Fund, Inc. and The Gabelli Global Interactive Couch Potato Fund (collectively, the "Funds"), which are registered investment companies.</w:t>
      </w:r>
    </w:p>
    <w:p>
      <w:pPr>
        <w:spacing w:after="0" w:line="6" w:lineRule="exact"/>
        <w:rPr>
          <w:sz w:val="20"/>
          <w:szCs w:val="20"/>
          <w:color w:val="auto"/>
        </w:rPr>
      </w:pPr>
    </w:p>
    <w:p>
      <w:pPr>
        <w:jc w:val="both"/>
        <w:ind w:right="3779" w:firstLine="1053"/>
        <w:spacing w:after="0" w:line="268" w:lineRule="auto"/>
        <w:rPr>
          <w:sz w:val="20"/>
          <w:szCs w:val="20"/>
          <w:color w:val="auto"/>
        </w:rPr>
      </w:pPr>
      <w:r>
        <w:rPr>
          <w:rFonts w:ascii="Courier New" w:cs="Courier New" w:eastAsia="Courier New" w:hAnsi="Courier New"/>
          <w:sz w:val="16"/>
          <w:szCs w:val="16"/>
          <w:color w:val="auto"/>
        </w:rPr>
        <w:t>The Plan, a qualified employee profit sharing plan, covers substantially all employees of GFI and its affiliates.</w:t>
      </w:r>
    </w:p>
    <w:p>
      <w:pPr>
        <w:ind w:right="3359" w:firstLine="1053"/>
        <w:spacing w:after="0" w:line="237" w:lineRule="auto"/>
        <w:rPr>
          <w:sz w:val="20"/>
          <w:szCs w:val="20"/>
          <w:color w:val="auto"/>
        </w:rPr>
      </w:pPr>
      <w:r>
        <w:rPr>
          <w:rFonts w:ascii="Courier New" w:cs="Courier New" w:eastAsia="Courier New" w:hAnsi="Courier New"/>
          <w:sz w:val="18"/>
          <w:szCs w:val="18"/>
          <w:color w:val="auto"/>
        </w:rPr>
        <w:t>GPP, a New York limited partnership, is a limited partnership whose primary business purpose is investing in securities. Mr. Gabelli is the general partner and chief invest-ment officer of GPP.</w:t>
      </w:r>
    </w:p>
    <w:p>
      <w:pPr>
        <w:spacing w:after="0" w:line="5"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GIL is a corporation whose primary business purpose is investing in a portfolio of equity securities and securities convertible into, or exchangeable for, equity securities in order to achieve its investment objective of significant long-term growth of capital. Shares of GIL's common stock are offered to persons who are neither citizens nor residents of the United States and may be offered to a limited number of U.S. investors. The investments of GIL are managed by Mr. Gabelli who is also a director and Chairman of the Board of Directors of GIL.</w:t>
      </w:r>
    </w:p>
    <w:p>
      <w:pPr>
        <w:spacing w:after="0" w:line="11"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GIL II is a corporation whose business purpose is investing primarily in a portfolio of equity securities and securities convertible into, or exchangeable for, equity securities in order to achieve its investment objective of significant long-term growth of capital. Shares of GIL II's common stock are offered to persons who are neither citizens nor residents of the United States and may be offered to a limited number of U.S. investors. The investments of GIL II are managed by Mr. Gabelli who is also a director and Chairman of the Board of Directors of GIL II.</w:t>
      </w:r>
    </w:p>
    <w:p>
      <w:pPr>
        <w:spacing w:after="0" w:line="12" w:lineRule="exact"/>
        <w:rPr>
          <w:sz w:val="20"/>
          <w:szCs w:val="20"/>
          <w:color w:val="auto"/>
        </w:rPr>
      </w:pPr>
    </w:p>
    <w:p>
      <w:pPr>
        <w:ind w:right="3159" w:firstLine="737"/>
        <w:spacing w:after="0" w:line="237" w:lineRule="auto"/>
        <w:rPr>
          <w:sz w:val="20"/>
          <w:szCs w:val="20"/>
          <w:color w:val="auto"/>
        </w:rPr>
      </w:pPr>
      <w:r>
        <w:rPr>
          <w:rFonts w:ascii="Courier New" w:cs="Courier New" w:eastAsia="Courier New" w:hAnsi="Courier New"/>
          <w:sz w:val="18"/>
          <w:szCs w:val="18"/>
          <w:color w:val="auto"/>
        </w:rPr>
        <w:t>ALCE is a Delaware investment limited partnership that seeks long-term capital appreciation primarily through investments in public and private equity securities. GSI is a general partner of ALCE.</w:t>
      </w:r>
    </w:p>
    <w:p>
      <w:pPr>
        <w:spacing w:after="0" w:line="5" w:lineRule="exact"/>
        <w:rPr>
          <w:sz w:val="20"/>
          <w:szCs w:val="20"/>
          <w:color w:val="auto"/>
        </w:rPr>
      </w:pPr>
    </w:p>
    <w:p>
      <w:pPr>
        <w:ind w:right="3259" w:firstLine="737"/>
        <w:spacing w:after="0" w:line="237" w:lineRule="auto"/>
        <w:rPr>
          <w:sz w:val="20"/>
          <w:szCs w:val="20"/>
          <w:color w:val="auto"/>
        </w:rPr>
      </w:pPr>
      <w:r>
        <w:rPr>
          <w:rFonts w:ascii="Courier New" w:cs="Courier New" w:eastAsia="Courier New" w:hAnsi="Courier New"/>
          <w:sz w:val="18"/>
          <w:szCs w:val="18"/>
          <w:color w:val="auto"/>
        </w:rPr>
        <w:t>Multimedia Partners is a Delaware investment limited partnership whose objective is to provide long-term capital appreciation by investing primarily in public and private multime-dia communications companies. GSI is a general partner of Multimedia Partners.</w:t>
      </w:r>
    </w:p>
    <w:p>
      <w:pPr>
        <w:spacing w:after="0" w:line="6" w:lineRule="exact"/>
        <w:rPr>
          <w:sz w:val="20"/>
          <w:szCs w:val="20"/>
          <w:color w:val="auto"/>
        </w:rPr>
      </w:pPr>
    </w:p>
    <w:p>
      <w:pPr>
        <w:ind w:right="3159" w:firstLine="737"/>
        <w:spacing w:after="0" w:line="235" w:lineRule="auto"/>
        <w:rPr>
          <w:sz w:val="20"/>
          <w:szCs w:val="20"/>
          <w:color w:val="auto"/>
        </w:rPr>
      </w:pPr>
      <w:r>
        <w:rPr>
          <w:rFonts w:ascii="Courier New" w:cs="Courier New" w:eastAsia="Courier New" w:hAnsi="Courier New"/>
          <w:sz w:val="18"/>
          <w:szCs w:val="18"/>
          <w:color w:val="auto"/>
        </w:rPr>
        <w:t>Gemini is a corporation whose primary business purpose is to provide advisory services to offshore funds.</w:t>
      </w:r>
    </w:p>
    <w:p>
      <w:pPr>
        <w:spacing w:after="0" w:line="6" w:lineRule="exact"/>
        <w:rPr>
          <w:sz w:val="20"/>
          <w:szCs w:val="20"/>
          <w:color w:val="auto"/>
        </w:rPr>
      </w:pPr>
    </w:p>
    <w:p>
      <w:pPr>
        <w:ind w:right="3259" w:firstLine="737"/>
        <w:spacing w:after="0" w:line="268" w:lineRule="auto"/>
        <w:rPr>
          <w:sz w:val="20"/>
          <w:szCs w:val="20"/>
          <w:color w:val="auto"/>
        </w:rPr>
      </w:pPr>
      <w:r>
        <w:rPr>
          <w:rFonts w:ascii="Courier New" w:cs="Courier New" w:eastAsia="Courier New" w:hAnsi="Courier New"/>
          <w:sz w:val="16"/>
          <w:szCs w:val="16"/>
          <w:color w:val="auto"/>
        </w:rPr>
        <w:t>The Foundation is a private foundation. Mr. Gabelli is the President, a Trustee and the Investment Manager of the Foundation.</w:t>
      </w:r>
    </w:p>
    <w:p>
      <w:pPr>
        <w:ind w:right="3159" w:firstLine="737"/>
        <w:spacing w:after="0" w:line="238" w:lineRule="auto"/>
        <w:rPr>
          <w:sz w:val="20"/>
          <w:szCs w:val="20"/>
          <w:color w:val="auto"/>
        </w:rPr>
      </w:pPr>
      <w:r>
        <w:rPr>
          <w:rFonts w:ascii="Courier New" w:cs="Courier New" w:eastAsia="Courier New" w:hAnsi="Courier New"/>
          <w:sz w:val="18"/>
          <w:szCs w:val="18"/>
          <w:color w:val="auto"/>
        </w:rPr>
        <w:t>Lynch, an Indiana corporation, is a diversified public company traded on the American Stock Exchange. Its subsidiaries are engaged in communications, services, and manufactured products. Spinnaker, a Delaware subsidiary of Lynch, is also a public company and its stock is traded through the NASDAQ System. Spinnaker is a diversified manufacturing firm with major subsidiaries in specialty adhesive-backed materials business. Another of Lynch's subsidiar-ies, Western New Mexico, provides telephone services in a service area in Southwestern New Mexico. Inter-Community, which is also a subsidiary of Lynch, provides local telephone services in an area 40 miles west of Fargo, North Dakota. Lynch and Spinnaker actively pursue new business ventures and acquisitions. Lynch and its affiliates make investments in marketable securities to preserve capital and maintain liquidity for financing their business activities and acquisitions (not in the case of Western New Mexico) and are not engaged in the business of investing, reinvesting, or trading in securities. Mr. Gabelli is Chairman of Lynch and owns beneficially 23.52% of the shares of common stock of Lynch.</w:t>
      </w:r>
    </w:p>
    <w:p>
      <w:pPr>
        <w:spacing w:after="0" w:line="7" w:lineRule="exact"/>
        <w:rPr>
          <w:sz w:val="20"/>
          <w:szCs w:val="20"/>
          <w:color w:val="auto"/>
        </w:rPr>
      </w:pPr>
    </w:p>
    <w:p>
      <w:pPr>
        <w:ind w:right="3159" w:firstLine="1053"/>
        <w:spacing w:after="0" w:line="271" w:lineRule="auto"/>
        <w:rPr>
          <w:sz w:val="20"/>
          <w:szCs w:val="20"/>
          <w:color w:val="auto"/>
        </w:rPr>
      </w:pPr>
      <w:r>
        <w:rPr>
          <w:rFonts w:ascii="Courier New" w:cs="Courier New" w:eastAsia="Courier New" w:hAnsi="Courier New"/>
          <w:sz w:val="16"/>
          <w:szCs w:val="16"/>
          <w:color w:val="auto"/>
        </w:rPr>
        <w:t>Mr. Gabelli is the majority stockholder and Chairman of the Board of Directors and Chief Executive Officer of GFI and the Chief Investment Officer for each of the Reporting Persons other than Gemini. GFI, in turn, is the sole stockholder of GAMCO. GFI is also the majority stockholder of GSI. Gabelli &amp; Company is a wholly-owned subsidiary of GSI. GLI is a wholly-owned subsidiary of GSI. Mr. Marc J. Gabelli is the majority stockholder of Gemini.</w:t>
      </w:r>
    </w:p>
    <w:p>
      <w:pPr>
        <w:sectPr>
          <w:pgSz w:w="11900" w:h="16838" w:orient="portrait"/>
          <w:cols w:equalWidth="0" w:num="1">
            <w:col w:w="10219"/>
          </w:cols>
          <w:pgMar w:left="240" w:top="142" w:right="1440" w:bottom="0" w:gutter="0" w:footer="0" w:header="0"/>
        </w:sectPr>
      </w:pPr>
    </w:p>
    <w:bookmarkStart w:id="8" w:name="page9"/>
    <w:bookmarkEnd w:id="8"/>
    <w:p>
      <w:pPr>
        <w:ind w:left="1060"/>
        <w:spacing w:after="0"/>
        <w:rPr>
          <w:sz w:val="20"/>
          <w:szCs w:val="20"/>
          <w:color w:val="auto"/>
        </w:rPr>
      </w:pPr>
      <w:r>
        <w:rPr>
          <w:rFonts w:ascii="Courier New" w:cs="Courier New" w:eastAsia="Courier New" w:hAnsi="Courier New"/>
          <w:sz w:val="18"/>
          <w:szCs w:val="18"/>
          <w:color w:val="auto"/>
        </w:rPr>
        <w:t>The Reporting Persons do not admit that they constitute</w:t>
      </w:r>
    </w:p>
    <w:p>
      <w:pPr>
        <w:spacing w:after="0" w:line="238" w:lineRule="auto"/>
        <w:rPr>
          <w:sz w:val="20"/>
          <w:szCs w:val="20"/>
          <w:color w:val="auto"/>
        </w:rPr>
      </w:pPr>
      <w:r>
        <w:rPr>
          <w:rFonts w:ascii="Courier New" w:cs="Courier New" w:eastAsia="Courier New" w:hAnsi="Courier New"/>
          <w:sz w:val="18"/>
          <w:szCs w:val="18"/>
          <w:color w:val="auto"/>
        </w:rPr>
        <w:t>a group.</w:t>
      </w:r>
    </w:p>
    <w:p>
      <w:pPr>
        <w:spacing w:after="0" w:line="5"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GFI, GAMCO, Gabelli &amp; Company and GLI are New York corporations and GSI is a Delaware corporation, each having its principal business office at One Corporate Center, Rye, New York 10580-1434. GPP is a Delaware limited partnership having its principal business office at 8 Sound Shore Drive, Greenwich, Connecticut 06830. Gabelli Associates is a New York limited partnership having its principal business office at One Corporate Center, Rye, New York 10580-1434. GAL and GIL are corporations organized under the laws of the British Virgin Islands having their principal business office at c/o MeesPierson (Cayman) Limited, British American Centre, Dr. Roy's Drive-Phase 3, George Town, Grand Cayman, British West Indies. GIL II is a corporation organized under the laws of the British Virgin Islands having their principal business office at c/o Coutts &amp; Company (Cayman) Limited, West Bay Road, Grand Cayman, British West Indies. Gemini is a Bermuda corporation with its principal business office at c/o Appleby, Spurling &amp; Kempe, Cedar House, 41 Cedar Avenue, Hamilton HM12, Bermuda. The Foundation is a private foundation having its principal offices at 165 West Liberty Street, Reno, Nevada 89501. Lynch is an Indiana corporation having its principal business office at 8 Sound Shore Drive, Greenwich, CT 06830. Spinnaker is a Delaware corporation having its principal business office at 251 Welton Street, Hamden, CT 06511.</w:t>
      </w:r>
    </w:p>
    <w:p>
      <w:pPr>
        <w:spacing w:after="0" w:line="8"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spacing w:after="0" w:line="6" w:lineRule="exact"/>
        <w:rPr>
          <w:sz w:val="20"/>
          <w:szCs w:val="20"/>
          <w:color w:val="auto"/>
        </w:rPr>
      </w:pPr>
    </w:p>
    <w:p>
      <w:pPr>
        <w:ind w:right="3159" w:firstLine="1061"/>
        <w:spacing w:after="0" w:line="268" w:lineRule="auto"/>
        <w:tabs>
          <w:tab w:leader="none" w:pos="1475" w:val="left"/>
        </w:tabs>
        <w:numPr>
          <w:ilvl w:val="2"/>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(e) - On December 8, 1994, the SEC instituted and simultaneously accepted offers for the settlement of an administrative proceeding against Gabelli &amp; Company and GAMCO. The order instituting the proceeding included a finding, which Gabelli</w:t>
      </w:r>
    </w:p>
    <w:p>
      <w:pPr>
        <w:ind w:right="3159" w:firstLine="8"/>
        <w:spacing w:after="0" w:line="238" w:lineRule="auto"/>
        <w:tabs>
          <w:tab w:leader="none" w:pos="21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and GAMCO neither admitted nor denied, that they failed to implement and maintain policies and procedures reasonably designed to prevent the misuse of material, nonpublic information by not specifically addressing the special circumstances that arose from their affiliation with Lynch Corporation, a public company. To resolve this matter, Gabelli &amp; Company and GAMCO agreed to cease and desist from violating Section 15(f) of the 1934 Act and Section 204A of the Advisers Act, respectively. They further agreed to each pay a civil penalty in the amount of $50,000, and to retain, and adopt the recommendations of, an independant consultant regarding their Section 15(f) and Section 204A policies and procedures.</w:t>
      </w:r>
    </w:p>
    <w:p>
      <w:pPr>
        <w:ind w:left="960" w:hanging="425"/>
        <w:spacing w:after="0" w:line="238" w:lineRule="auto"/>
        <w:tabs>
          <w:tab w:leader="none" w:pos="96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Reference is made to Schedule I hereto.</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Item 3 to Schedule 13D is amended, in pertinent part,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follows:</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All Reporting Persons used an aggregate of approximately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$6,667,512 to purchase the additional Securities requiring this</w:t>
      </w:r>
    </w:p>
    <w:p>
      <w:pPr>
        <w:spacing w:after="0"/>
        <w:tabs>
          <w:tab w:leader="none" w:pos="3040" w:val="left"/>
        </w:tabs>
        <w:rPr>
          <w:sz w:val="20"/>
          <w:szCs w:val="20"/>
          <w:color w:val="auto"/>
        </w:rPr>
      </w:pPr>
      <w:r>
        <w:rPr>
          <w:rFonts w:ascii="Courier New" w:cs="Courier New" w:eastAsia="Courier New" w:hAnsi="Courier New"/>
          <w:sz w:val="18"/>
          <w:szCs w:val="18"/>
          <w:color w:val="auto"/>
        </w:rPr>
        <w:t>Amendment to Schedule 13D.</w:t>
      </w:r>
      <w:r>
        <w:rPr>
          <w:sz w:val="20"/>
          <w:szCs w:val="20"/>
          <w:color w:val="auto"/>
        </w:rPr>
        <w:tab/>
      </w:r>
      <w:r>
        <w:rPr>
          <w:rFonts w:ascii="Courier New" w:cs="Courier New" w:eastAsia="Courier New" w:hAnsi="Courier New"/>
          <w:sz w:val="16"/>
          <w:szCs w:val="16"/>
          <w:color w:val="auto"/>
        </w:rPr>
        <w:t>GAMCO and GFI used approximately</w:t>
      </w:r>
    </w:p>
    <w:p>
      <w:pPr>
        <w:spacing w:after="0"/>
        <w:rPr>
          <w:sz w:val="20"/>
          <w:szCs w:val="20"/>
          <w:color w:val="auto"/>
        </w:rPr>
      </w:pPr>
      <w:r>
        <w:rPr>
          <w:rFonts w:ascii="Courier New" w:cs="Courier New" w:eastAsia="Courier New" w:hAnsi="Courier New"/>
          <w:sz w:val="18"/>
          <w:szCs w:val="18"/>
          <w:color w:val="auto"/>
        </w:rPr>
        <w:t>$5,848,298 and $819,214 respectively, of funds that were provided</w:t>
      </w:r>
    </w:p>
    <w:p>
      <w:pPr>
        <w:spacing w:after="0" w:line="237" w:lineRule="auto"/>
        <w:rPr>
          <w:sz w:val="20"/>
          <w:szCs w:val="20"/>
          <w:color w:val="auto"/>
        </w:rPr>
      </w:pPr>
      <w:r>
        <w:rPr>
          <w:rFonts w:ascii="Courier New" w:cs="Courier New" w:eastAsia="Courier New" w:hAnsi="Courier New"/>
          <w:sz w:val="18"/>
          <w:szCs w:val="18"/>
          <w:color w:val="auto"/>
        </w:rPr>
        <w:t>through the accounts of certain of their investment advisory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clients (and, in the case of some of such accounts at GAMCO, may be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through borrowings from client margin accounts) in order to</w:t>
      </w:r>
    </w:p>
    <w:p>
      <w:pPr>
        <w:spacing w:after="0" w:line="238" w:lineRule="auto"/>
        <w:rPr>
          <w:sz w:val="20"/>
          <w:szCs w:val="20"/>
          <w:color w:val="auto"/>
        </w:rPr>
      </w:pPr>
      <w:r>
        <w:rPr>
          <w:rFonts w:ascii="Courier New" w:cs="Courier New" w:eastAsia="Courier New" w:hAnsi="Courier New"/>
          <w:sz w:val="18"/>
          <w:szCs w:val="18"/>
          <w:color w:val="auto"/>
        </w:rPr>
        <w:t>purchase the additional Securities for such clients.</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Item 5 to Schedule 13D is amended, in pertinent part,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follows:</w:t>
      </w:r>
    </w:p>
    <w:p>
      <w:pPr>
        <w:spacing w:after="0" w:line="4" w:lineRule="exact"/>
        <w:rPr>
          <w:sz w:val="20"/>
          <w:szCs w:val="20"/>
          <w:color w:val="auto"/>
        </w:rPr>
      </w:pPr>
    </w:p>
    <w:p>
      <w:pPr>
        <w:ind w:right="3159" w:firstLine="1061"/>
        <w:spacing w:after="0" w:line="237" w:lineRule="auto"/>
        <w:tabs>
          <w:tab w:leader="none" w:pos="1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number and percentage of Securities to which this Schedule 13D relates is 2,571,650 shares, representing 9.43% of the 27,274,352 shares outstanding as reported in the Issuer's most recently filed Form 10-Q for the quarter ended September 30, 1997. The Reporting Persons beneficially own those Securities as follows:</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w:t>
      </w:r>
    </w:p>
    <w:p>
      <w:pPr>
        <w:spacing w:after="0" w:line="238" w:lineRule="auto"/>
        <w:rPr>
          <w:sz w:val="20"/>
          <w:szCs w:val="20"/>
          <w:color w:val="auto"/>
        </w:rPr>
      </w:pPr>
      <w:r>
        <w:rPr>
          <w:rFonts w:ascii="Courier New" w:cs="Courier New" w:eastAsia="Courier New" w:hAnsi="Courier New"/>
          <w:sz w:val="18"/>
          <w:szCs w:val="18"/>
          <w:color w:val="auto"/>
        </w:rPr>
        <w:t>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w:t>
      </w:r>
    </w:p>
    <w:p>
      <w:pPr>
        <w:spacing w:after="0" w:line="200" w:lineRule="exact"/>
        <w:rPr>
          <w:sz w:val="20"/>
          <w:szCs w:val="20"/>
          <w:color w:val="auto"/>
        </w:rPr>
      </w:pPr>
    </w:p>
    <w:p>
      <w:pPr>
        <w:sectPr>
          <w:pgSz w:w="11900" w:h="16838" w:orient="portrait"/>
          <w:cols w:equalWidth="0" w:num="3">
            <w:col w:w="2440" w:space="720"/>
            <w:col w:w="1400" w:space="720"/>
            <w:col w:w="4939"/>
          </w:cols>
          <w:pgMar w:left="240" w:top="136" w:right="1440" w:bottom="0" w:gutter="0" w:footer="0" w:header="0"/>
          <w:type w:val="continuous"/>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GFI:</w:t>
            </w:r>
          </w:p>
        </w:tc>
        <w:tc>
          <w:tcPr>
            <w:tcW w:w="19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w:t>
            </w:r>
          </w:p>
        </w:tc>
        <w:tc>
          <w:tcPr>
            <w:tcW w:w="2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Agent</w:t>
            </w:r>
          </w:p>
        </w:tc>
        <w:tc>
          <w:tcPr>
            <w:tcW w:w="2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654,000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GAMCO:</w:t>
      </w:r>
    </w:p>
    <w:p>
      <w:pPr>
        <w:sectPr>
          <w:pgSz w:w="11900" w:h="16838" w:orient="portrait"/>
          <w:cols w:equalWidth="0" w:num="1">
            <w:col w:w="10219"/>
          </w:cols>
          <w:pgMar w:left="240" w:top="136" w:right="1440"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2280" w:type="dxa"/>
            <w:vAlign w:val="bottom"/>
          </w:tcPr>
          <w:p>
            <w:pPr>
              <w:ind w:left="220"/>
              <w:spacing w:after="0"/>
              <w:rPr>
                <w:sz w:val="20"/>
                <w:szCs w:val="20"/>
                <w:color w:val="auto"/>
              </w:rPr>
            </w:pPr>
            <w:r>
              <w:rPr>
                <w:rFonts w:ascii="Courier New" w:cs="Courier New" w:eastAsia="Courier New" w:hAnsi="Courier New"/>
                <w:sz w:val="18"/>
                <w:szCs w:val="18"/>
                <w:color w:val="auto"/>
              </w:rPr>
              <w:t>As Principal</w:t>
            </w:r>
          </w:p>
        </w:tc>
        <w:tc>
          <w:tcPr>
            <w:tcW w:w="25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0.00%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 Agent</w:t>
            </w:r>
          </w:p>
        </w:tc>
        <w:tc>
          <w:tcPr>
            <w:tcW w:w="2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1,915,150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7.02%</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GSI</w:t>
            </w:r>
          </w:p>
        </w:tc>
        <w:tc>
          <w:tcPr>
            <w:tcW w:w="25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2,500</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0.01%</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Foundation</w:t>
            </w:r>
          </w:p>
        </w:tc>
        <w:tc>
          <w:tcPr>
            <w:tcW w:w="25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0.00%</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Mr. Gabelli</w:t>
            </w:r>
          </w:p>
        </w:tc>
        <w:tc>
          <w:tcPr>
            <w:tcW w:w="25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0.00%</w:t>
            </w:r>
          </w:p>
        </w:tc>
      </w:tr>
    </w:tbl>
    <w:p>
      <w:pPr>
        <w:spacing w:after="0" w:line="207"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Mr. Gabelli is deemed to have beneficial ownership of the Securities beneficially owned by each of the foregoing persons and GFI is deemed to have beneficial ownership of the Securities beneficially owned by each of the foregoing persons other than Mr. Gabelli.</w:t>
      </w:r>
    </w:p>
    <w:p>
      <w:pPr>
        <w:spacing w:after="0" w:line="6" w:lineRule="exact"/>
        <w:rPr>
          <w:sz w:val="20"/>
          <w:szCs w:val="20"/>
          <w:color w:val="auto"/>
        </w:rPr>
      </w:pPr>
    </w:p>
    <w:p>
      <w:pPr>
        <w:ind w:right="3159" w:firstLine="1061"/>
        <w:spacing w:after="0" w:line="269" w:lineRule="auto"/>
        <w:tabs>
          <w:tab w:leader="none" w:pos="147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GAMCO Investors, Inc. does not have authority to vote 70,000 of the reported shares, and except that GFI has sole dispositive and voting power with respect to the 654,000 shares of the Issuer held by the the Funds, so long as the aggregate voting interest of all joint filers does not exceed 25% of their total voting interest in the Issuer and in that event, the Proxy Voting Committee of each of the Funds shall respectively vote that Fund's shares, and except that, at any time, the Proxy Voting Committee of each such Fund may take and exercise in its sole discretion the entire voting power with respect to the shares held by such Fund under special circumstances such as regulatory considerations, and except that the power of Mr. Gabelli and GFI is indirect with respect to Securities beneficially owned directly by other Reporting Persons.</w:t>
      </w:r>
    </w:p>
    <w:p>
      <w:pPr>
        <w:spacing w:after="0" w:line="192" w:lineRule="exact"/>
        <w:rPr>
          <w:rFonts w:ascii="Courier New" w:cs="Courier New" w:eastAsia="Courier New" w:hAnsi="Courier New"/>
          <w:sz w:val="16"/>
          <w:szCs w:val="16"/>
          <w:color w:val="auto"/>
        </w:rPr>
      </w:pPr>
    </w:p>
    <w:p>
      <w:pPr>
        <w:ind w:right="3259" w:firstLine="1061"/>
        <w:spacing w:after="0" w:line="273" w:lineRule="auto"/>
        <w:tabs>
          <w:tab w:leader="none" w:pos="147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with respect to all transactions in the Securities which were effected during the past sixty days or since the most recent filing on Schedule 13D, whichever is less, by each of the Reporting Persons and Covered Persons is set forth on Schedule II annexed hereto and incorporated herein by reference.</w:t>
      </w:r>
    </w:p>
    <w:p>
      <w:pPr>
        <w:sectPr>
          <w:pgSz w:w="11900" w:h="16838" w:orient="portrait"/>
          <w:cols w:equalWidth="0" w:num="1">
            <w:col w:w="10219"/>
          </w:cols>
          <w:pgMar w:left="240" w:top="13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February 3, 1998</w:t>
      </w:r>
    </w:p>
    <w:p>
      <w:pPr>
        <w:ind w:left="3700"/>
        <w:spacing w:after="0" w:line="238" w:lineRule="auto"/>
        <w:rPr>
          <w:sz w:val="20"/>
          <w:szCs w:val="20"/>
          <w:color w:val="auto"/>
        </w:rPr>
      </w:pPr>
      <w:r>
        <w:rPr>
          <w:rFonts w:ascii="Courier New" w:cs="Courier New" w:eastAsia="Courier New" w:hAnsi="Courier New"/>
          <w:sz w:val="18"/>
          <w:szCs w:val="18"/>
          <w:color w:val="auto"/>
        </w:rPr>
        <w:t>MARIO J. GABELLI</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By:_____________________________</w:t>
      </w:r>
    </w:p>
    <w:p>
      <w:pPr>
        <w:ind w:left="4020"/>
        <w:spacing w:after="0" w:line="238" w:lineRule="auto"/>
        <w:rPr>
          <w:sz w:val="20"/>
          <w:szCs w:val="20"/>
          <w:color w:val="auto"/>
        </w:rPr>
      </w:pPr>
      <w:r>
        <w:rPr>
          <w:rFonts w:ascii="Courier New" w:cs="Courier New" w:eastAsia="Courier New" w:hAnsi="Courier New"/>
          <w:sz w:val="18"/>
          <w:szCs w:val="18"/>
          <w:color w:val="auto"/>
        </w:rPr>
        <w:t>James E. McKee</w:t>
      </w:r>
    </w:p>
    <w:p>
      <w:pPr>
        <w:ind w:left="402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GABELLI FUNDS, INC.</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By:_________________________</w:t>
      </w:r>
    </w:p>
    <w:p>
      <w:pPr>
        <w:ind w:left="4020"/>
        <w:spacing w:after="0" w:line="238" w:lineRule="auto"/>
        <w:rPr>
          <w:sz w:val="20"/>
          <w:szCs w:val="20"/>
          <w:color w:val="auto"/>
        </w:rPr>
      </w:pPr>
      <w:r>
        <w:rPr>
          <w:rFonts w:ascii="Courier New" w:cs="Courier New" w:eastAsia="Courier New" w:hAnsi="Courier New"/>
          <w:sz w:val="18"/>
          <w:szCs w:val="18"/>
          <w:color w:val="auto"/>
        </w:rPr>
        <w:t>James E. McKee</w:t>
      </w:r>
    </w:p>
    <w:p>
      <w:pPr>
        <w:ind w:left="4020"/>
        <w:spacing w:after="0"/>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GAMCO INVESTORS, INC.</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By:_________________________</w:t>
      </w:r>
    </w:p>
    <w:p>
      <w:pPr>
        <w:ind w:left="4020"/>
        <w:spacing w:after="0" w:line="238" w:lineRule="auto"/>
        <w:rPr>
          <w:sz w:val="20"/>
          <w:szCs w:val="20"/>
          <w:color w:val="auto"/>
        </w:rPr>
      </w:pPr>
      <w:r>
        <w:rPr>
          <w:rFonts w:ascii="Courier New" w:cs="Courier New" w:eastAsia="Courier New" w:hAnsi="Courier New"/>
          <w:sz w:val="18"/>
          <w:szCs w:val="18"/>
          <w:color w:val="auto"/>
        </w:rPr>
        <w:t>Douglas R. Jamieson</w:t>
      </w:r>
    </w:p>
    <w:p>
      <w:pPr>
        <w:ind w:left="4020"/>
        <w:spacing w:after="0"/>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GABELLI SECURITIES INC.</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w:t>
      </w:r>
    </w:p>
    <w:p>
      <w:pPr>
        <w:ind w:left="4020"/>
        <w:spacing w:after="0" w:line="238" w:lineRule="auto"/>
        <w:rPr>
          <w:sz w:val="20"/>
          <w:szCs w:val="20"/>
          <w:color w:val="auto"/>
        </w:rPr>
      </w:pPr>
      <w:r>
        <w:rPr>
          <w:rFonts w:ascii="Courier New" w:cs="Courier New" w:eastAsia="Courier New" w:hAnsi="Courier New"/>
          <w:sz w:val="18"/>
          <w:szCs w:val="18"/>
          <w:color w:val="auto"/>
        </w:rPr>
        <w:t>James E. McKee</w:t>
      </w:r>
    </w:p>
    <w:p>
      <w:pPr>
        <w:ind w:left="402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GABELLI FOUNDATION, INC.</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BY:__________________________</w:t>
      </w:r>
    </w:p>
    <w:p>
      <w:pPr>
        <w:ind w:left="4020"/>
        <w:spacing w:after="0" w:line="238" w:lineRule="auto"/>
        <w:rPr>
          <w:sz w:val="20"/>
          <w:szCs w:val="20"/>
          <w:color w:val="auto"/>
        </w:rPr>
      </w:pPr>
      <w:r>
        <w:rPr>
          <w:rFonts w:ascii="Courier New" w:cs="Courier New" w:eastAsia="Courier New" w:hAnsi="Courier New"/>
          <w:sz w:val="18"/>
          <w:szCs w:val="18"/>
          <w:color w:val="auto"/>
        </w:rPr>
        <w:t>Mario J. Gabelli, President</w:t>
      </w:r>
    </w:p>
    <w:p>
      <w:pPr>
        <w:ind w:left="4020"/>
        <w:spacing w:after="0"/>
        <w:rPr>
          <w:sz w:val="20"/>
          <w:szCs w:val="20"/>
          <w:color w:val="auto"/>
        </w:rPr>
      </w:pPr>
      <w:r>
        <w:rPr>
          <w:rFonts w:ascii="Courier New" w:cs="Courier New" w:eastAsia="Courier New" w:hAnsi="Courier New"/>
          <w:sz w:val="18"/>
          <w:szCs w:val="18"/>
          <w:color w:val="auto"/>
        </w:rPr>
        <w:t>By: James E. McKee</w:t>
      </w:r>
    </w:p>
    <w:p>
      <w:pPr>
        <w:ind w:left="402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I</w:t>
      </w:r>
    </w:p>
    <w:p>
      <w:pPr>
        <w:spacing w:after="0" w:line="200" w:lineRule="exact"/>
        <w:rPr>
          <w:sz w:val="20"/>
          <w:szCs w:val="20"/>
          <w:color w:val="auto"/>
        </w:rPr>
      </w:pPr>
    </w:p>
    <w:p>
      <w:pPr>
        <w:spacing w:after="0" w:line="20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Information with Respect to Executive</w:t>
      </w:r>
    </w:p>
    <w:p>
      <w:pPr>
        <w:jc w:val="center"/>
        <w:ind w:right="3359"/>
        <w:spacing w:after="0" w:line="238" w:lineRule="auto"/>
        <w:rPr>
          <w:sz w:val="20"/>
          <w:szCs w:val="20"/>
          <w:color w:val="auto"/>
        </w:rPr>
      </w:pPr>
      <w:r>
        <w:rPr>
          <w:rFonts w:ascii="Courier New" w:cs="Courier New" w:eastAsia="Courier New" w:hAnsi="Courier New"/>
          <w:sz w:val="18"/>
          <w:szCs w:val="18"/>
          <w:color w:val="auto"/>
        </w:rPr>
        <w:t>Officers and Directors of the Undersigned</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Schedule I to Schedule 13D is amended, in pertinent part, as</w:t>
      </w:r>
    </w:p>
    <w:p>
      <w:pPr>
        <w:spacing w:after="0" w:line="238" w:lineRule="auto"/>
        <w:rPr>
          <w:sz w:val="20"/>
          <w:szCs w:val="20"/>
          <w:color w:val="auto"/>
        </w:rPr>
      </w:pPr>
      <w:r>
        <w:rPr>
          <w:rFonts w:ascii="Courier New" w:cs="Courier New" w:eastAsia="Courier New" w:hAnsi="Courier New"/>
          <w:sz w:val="18"/>
          <w:szCs w:val="18"/>
          <w:color w:val="auto"/>
        </w:rPr>
        <w:t>follows:</w:t>
      </w:r>
    </w:p>
    <w:p>
      <w:pPr>
        <w:spacing w:after="0" w:line="5" w:lineRule="exact"/>
        <w:rPr>
          <w:sz w:val="20"/>
          <w:szCs w:val="20"/>
          <w:color w:val="auto"/>
        </w:rPr>
      </w:pPr>
    </w:p>
    <w:p>
      <w:pPr>
        <w:ind w:right="2619" w:firstLine="1053"/>
        <w:spacing w:after="0" w:line="269" w:lineRule="auto"/>
        <w:rPr>
          <w:sz w:val="20"/>
          <w:szCs w:val="20"/>
          <w:color w:val="auto"/>
        </w:rPr>
      </w:pPr>
      <w:r>
        <w:rPr>
          <w:rFonts w:ascii="Courier New" w:cs="Courier New" w:eastAsia="Courier New" w:hAnsi="Courier New"/>
          <w:sz w:val="16"/>
          <w:szCs w:val="16"/>
          <w:color w:val="auto"/>
        </w:rPr>
        <w:t>The following sets forth as to each of the executive officers and directors of the undersigned: his name; his business address; and his present principal occupation or employment and the name, principal business and address of any corporation or other organization in which such employment is conducted. Unless otherwise specified, the principal employer of each such individual is Gabelli Funds, Inc., Gabelli &amp; Company,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of this Schedule 13D.</w:t>
      </w:r>
    </w:p>
    <w:p>
      <w:pPr>
        <w:sectPr>
          <w:pgSz w:w="11900" w:h="16838" w:orient="portrait"/>
          <w:cols w:equalWidth="0" w:num="1">
            <w:col w:w="10219"/>
          </w:cols>
          <w:pgMar w:left="240" w:top="514" w:right="1440" w:bottom="1159"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Gabelli Funds, Inc.</w:t>
            </w:r>
          </w:p>
        </w:tc>
        <w:tc>
          <w:tcPr>
            <w:tcW w:w="24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24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24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Richard B. Black</w:t>
            </w:r>
          </w:p>
        </w:tc>
        <w:tc>
          <w:tcPr>
            <w:tcW w:w="43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Chairman of Raster Image</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Processing Systems; Chairman</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ECRM; Director of Archetype</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and Oak Technology; Director</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of The Morgan Group, Inc.;</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General Partner of KBA Part-</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ners, Parker Plaza</w:t>
            </w: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5"/>
              </w:rPr>
              <w:t>400 Kelby Street,</w:t>
            </w:r>
          </w:p>
        </w:tc>
        <w:tc>
          <w:tcPr>
            <w:tcW w:w="190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Fort Lee, NJ 07029</w:t>
            </w: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Charles C. Baum</w:t>
            </w:r>
          </w:p>
        </w:tc>
        <w:tc>
          <w:tcPr>
            <w:tcW w:w="432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6"/>
              </w:rPr>
              <w:t>Chairman, Director and Chief Execu-</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tive Officer of The Morgan Group,</w:t>
            </w: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w:t>
            </w:r>
          </w:p>
        </w:tc>
        <w:tc>
          <w:tcPr>
            <w:tcW w:w="190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Secretary &amp; Treasurer</w:t>
            </w: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United Holdings</w:t>
            </w:r>
          </w:p>
        </w:tc>
        <w:tc>
          <w:tcPr>
            <w:tcW w:w="190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2545 Wilkens Avenue</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Baltimore, MD  21223</w:t>
            </w: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Dr. Eamon M. Kelly</w:t>
            </w:r>
          </w:p>
        </w:tc>
        <w:tc>
          <w:tcPr>
            <w:tcW w:w="2420" w:type="dxa"/>
            <w:vAlign w:val="bottom"/>
          </w:tcPr>
          <w:p>
            <w:pPr>
              <w:ind w:left="640"/>
              <w:spacing w:after="0"/>
              <w:rPr>
                <w:sz w:val="20"/>
                <w:szCs w:val="20"/>
                <w:color w:val="auto"/>
              </w:rPr>
            </w:pPr>
            <w:r>
              <w:rPr>
                <w:rFonts w:ascii="Courier New" w:cs="Courier New" w:eastAsia="Courier New" w:hAnsi="Courier New"/>
                <w:sz w:val="18"/>
                <w:szCs w:val="18"/>
                <w:color w:val="auto"/>
              </w:rPr>
              <w:t>President</w:t>
            </w:r>
          </w:p>
        </w:tc>
        <w:tc>
          <w:tcPr>
            <w:tcW w:w="1900" w:type="dxa"/>
            <w:vAlign w:val="bottom"/>
          </w:tcPr>
          <w:p>
            <w:pPr>
              <w:spacing w:after="0"/>
              <w:rPr>
                <w:sz w:val="24"/>
                <w:szCs w:val="24"/>
                <w:color w:val="auto"/>
              </w:rPr>
            </w:pP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5"/>
              </w:rPr>
              <w:t>Tulane University</w:t>
            </w:r>
          </w:p>
        </w:tc>
        <w:tc>
          <w:tcPr>
            <w:tcW w:w="190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218 Gibson Hall</w:t>
            </w:r>
          </w:p>
        </w:tc>
        <w:tc>
          <w:tcPr>
            <w:tcW w:w="190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6823 St. Charles</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Avenue</w:t>
            </w: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New Orleans, LA</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70118</w:t>
            </w: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Marc J. Gabelli</w:t>
            </w:r>
          </w:p>
        </w:tc>
        <w:tc>
          <w:tcPr>
            <w:tcW w:w="2420" w:type="dxa"/>
            <w:vAlign w:val="bottom"/>
          </w:tcPr>
          <w:p>
            <w:pPr>
              <w:ind w:left="640"/>
              <w:spacing w:after="0"/>
              <w:rPr>
                <w:sz w:val="20"/>
                <w:szCs w:val="20"/>
                <w:color w:val="auto"/>
              </w:rPr>
            </w:pPr>
            <w:r>
              <w:rPr>
                <w:rFonts w:ascii="Courier New" w:cs="Courier New" w:eastAsia="Courier New" w:hAnsi="Courier New"/>
                <w:sz w:val="18"/>
                <w:szCs w:val="18"/>
                <w:color w:val="auto"/>
              </w:rPr>
              <w:t>Vice President</w:t>
            </w:r>
          </w:p>
        </w:tc>
        <w:tc>
          <w:tcPr>
            <w:tcW w:w="1900" w:type="dxa"/>
            <w:vAlign w:val="bottom"/>
          </w:tcPr>
          <w:p>
            <w:pPr>
              <w:spacing w:after="0"/>
              <w:rPr>
                <w:sz w:val="24"/>
                <w:szCs w:val="24"/>
                <w:color w:val="auto"/>
              </w:rPr>
            </w:pPr>
          </w:p>
        </w:tc>
      </w:tr>
      <w:tr>
        <w:trPr>
          <w:trHeight w:val="608"/>
        </w:trPr>
        <w:tc>
          <w:tcPr>
            <w:tcW w:w="306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24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43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Chairman, Chief Executive</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Officer and Chief Investment</w:t>
            </w: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Officer</w:t>
            </w:r>
          </w:p>
        </w:tc>
        <w:tc>
          <w:tcPr>
            <w:tcW w:w="1900" w:type="dxa"/>
            <w:vAlign w:val="bottom"/>
          </w:tcPr>
          <w:p>
            <w:pPr>
              <w:spacing w:after="0"/>
              <w:rPr>
                <w:sz w:val="17"/>
                <w:szCs w:val="17"/>
                <w:color w:val="auto"/>
              </w:rPr>
            </w:pP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Stephen G. Bondi</w:t>
            </w:r>
          </w:p>
        </w:tc>
        <w:tc>
          <w:tcPr>
            <w:tcW w:w="43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Executive Vice President,</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Chief Financial and Admin-</w:t>
            </w: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5"/>
              </w:rPr>
              <w:t>istrative Officer</w:t>
            </w:r>
          </w:p>
        </w:tc>
        <w:tc>
          <w:tcPr>
            <w:tcW w:w="1900" w:type="dxa"/>
            <w:vAlign w:val="bottom"/>
          </w:tcPr>
          <w:p>
            <w:pPr>
              <w:spacing w:after="0"/>
              <w:rPr>
                <w:sz w:val="17"/>
                <w:szCs w:val="17"/>
                <w:color w:val="auto"/>
              </w:rPr>
            </w:pP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James E. McKee</w:t>
            </w:r>
          </w:p>
        </w:tc>
        <w:tc>
          <w:tcPr>
            <w:tcW w:w="43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Vice President, General</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Counsel and Secretary</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w:t>
      </w:r>
    </w:p>
    <w:p>
      <w:pPr>
        <w:spacing w:after="0" w:line="207" w:lineRule="exact"/>
        <w:rPr>
          <w:sz w:val="20"/>
          <w:szCs w:val="20"/>
          <w:color w:val="auto"/>
        </w:rPr>
      </w:pPr>
    </w:p>
    <w:p>
      <w:pPr>
        <w:ind w:right="2619" w:firstLine="535"/>
        <w:spacing w:after="0" w:line="237" w:lineRule="auto"/>
        <w:tabs>
          <w:tab w:leader="none" w:pos="105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Gabelli is the Chairman, Chief Executive Officer and Chief Investment Officer of Gabelli Funds, Inc. and of GAMCO Investors, Inc.; Director/Trustee of all registered investment companies advised by Gabelli Funds, Inc.; Chairman and Chief Executive Officer of Lynch Corporation.</w:t>
      </w:r>
    </w:p>
    <w:p>
      <w:pPr>
        <w:sectPr>
          <w:pgSz w:w="11900" w:h="16838" w:orient="portrait"/>
          <w:cols w:equalWidth="0" w:num="1">
            <w:col w:w="10219"/>
          </w:cols>
          <w:pgMar w:left="240" w:top="514"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20"/>
                <w:szCs w:val="20"/>
                <w:color w:val="auto"/>
              </w:rPr>
            </w:pPr>
            <w:r>
              <w:rPr>
                <w:rFonts w:ascii="Courier New" w:cs="Courier New" w:eastAsia="Courier New" w:hAnsi="Courier New"/>
                <w:sz w:val="18"/>
                <w:szCs w:val="18"/>
                <w:color w:val="auto"/>
              </w:rPr>
              <w:t>GAMCO Investors, Inc.</w:t>
            </w:r>
          </w:p>
        </w:tc>
        <w:tc>
          <w:tcPr>
            <w:tcW w:w="18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8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18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Douglas R. Jamieson</w:t>
            </w:r>
          </w:p>
        </w:tc>
        <w:tc>
          <w:tcPr>
            <w:tcW w:w="18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Joseph R. Rindler, Jr.</w:t>
            </w:r>
          </w:p>
        </w:tc>
        <w:tc>
          <w:tcPr>
            <w:tcW w:w="18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Regina M. Pitaro</w:t>
            </w:r>
          </w:p>
        </w:tc>
        <w:tc>
          <w:tcPr>
            <w:tcW w:w="18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 William Scholz, II</w:t>
            </w:r>
          </w:p>
        </w:tc>
        <w:tc>
          <w:tcPr>
            <w:tcW w:w="18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8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36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3280" w:type="dxa"/>
            <w:vAlign w:val="bottom"/>
          </w:tcPr>
          <w:p>
            <w:pPr>
              <w:spacing w:after="0"/>
              <w:rPr>
                <w:sz w:val="17"/>
                <w:szCs w:val="17"/>
                <w:color w:val="auto"/>
              </w:rPr>
            </w:pPr>
          </w:p>
        </w:tc>
        <w:tc>
          <w:tcPr>
            <w:tcW w:w="36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and Chief Investment Officer</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Joseph R. Rindler, Jr.</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rPr>
              <w:t>Chairman</w:t>
            </w:r>
          </w:p>
        </w:tc>
        <w:tc>
          <w:tcPr>
            <w:tcW w:w="180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Douglas R. Jamieson</w:t>
            </w:r>
          </w:p>
        </w:tc>
        <w:tc>
          <w:tcPr>
            <w:tcW w:w="36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Executive Vice President</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Stephen G. Bondi</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w w:val="95"/>
              </w:rPr>
              <w:t>Vice President</w:t>
            </w:r>
          </w:p>
        </w:tc>
        <w:tc>
          <w:tcPr>
            <w:tcW w:w="180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James E. McKee</w:t>
            </w:r>
          </w:p>
        </w:tc>
        <w:tc>
          <w:tcPr>
            <w:tcW w:w="368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6"/>
              </w:rPr>
              <w:t>Vice President, General Counsel</w:t>
            </w:r>
          </w:p>
        </w:tc>
      </w:tr>
      <w:tr>
        <w:trPr>
          <w:trHeight w:val="203"/>
        </w:trPr>
        <w:tc>
          <w:tcPr>
            <w:tcW w:w="3280" w:type="dxa"/>
            <w:vAlign w:val="bottom"/>
          </w:tcPr>
          <w:p>
            <w:pPr>
              <w:spacing w:after="0"/>
              <w:rPr>
                <w:sz w:val="17"/>
                <w:szCs w:val="17"/>
                <w:color w:val="auto"/>
              </w:rPr>
            </w:pPr>
          </w:p>
        </w:tc>
        <w:tc>
          <w:tcPr>
            <w:tcW w:w="1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Secretary</w:t>
            </w:r>
          </w:p>
        </w:tc>
        <w:tc>
          <w:tcPr>
            <w:tcW w:w="1800" w:type="dxa"/>
            <w:vAlign w:val="bottom"/>
          </w:tcPr>
          <w:p>
            <w:pPr>
              <w:spacing w:after="0"/>
              <w:rPr>
                <w:sz w:val="17"/>
                <w:szCs w:val="17"/>
                <w:color w:val="auto"/>
              </w:rPr>
            </w:pPr>
          </w:p>
        </w:tc>
      </w:tr>
      <w:tr>
        <w:trPr>
          <w:trHeight w:val="608"/>
        </w:trPr>
        <w:tc>
          <w:tcPr>
            <w:tcW w:w="3280" w:type="dxa"/>
            <w:vAlign w:val="bottom"/>
          </w:tcPr>
          <w:p>
            <w:pPr>
              <w:spacing w:after="0"/>
              <w:rPr>
                <w:sz w:val="20"/>
                <w:szCs w:val="20"/>
                <w:color w:val="auto"/>
              </w:rPr>
            </w:pPr>
            <w:r>
              <w:rPr>
                <w:rFonts w:ascii="Courier New" w:cs="Courier New" w:eastAsia="Courier New" w:hAnsi="Courier New"/>
                <w:sz w:val="18"/>
                <w:szCs w:val="18"/>
                <w:color w:val="auto"/>
              </w:rPr>
              <w:t>Gabelli Securities, Inc.</w:t>
            </w:r>
          </w:p>
        </w:tc>
        <w:tc>
          <w:tcPr>
            <w:tcW w:w="18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8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Robert W. Blake</w:t>
            </w:r>
          </w:p>
        </w:tc>
        <w:tc>
          <w:tcPr>
            <w:tcW w:w="36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President of W.R. Blake</w:t>
            </w:r>
          </w:p>
        </w:tc>
      </w:tr>
      <w:tr>
        <w:trPr>
          <w:trHeight w:val="203"/>
        </w:trPr>
        <w:tc>
          <w:tcPr>
            <w:tcW w:w="3280" w:type="dxa"/>
            <w:vAlign w:val="bottom"/>
          </w:tcPr>
          <w:p>
            <w:pPr>
              <w:spacing w:after="0"/>
              <w:rPr>
                <w:sz w:val="17"/>
                <w:szCs w:val="17"/>
                <w:color w:val="auto"/>
              </w:rPr>
            </w:pPr>
          </w:p>
        </w:tc>
        <w:tc>
          <w:tcPr>
            <w:tcW w:w="1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&amp; Sons, Inc.</w:t>
            </w:r>
          </w:p>
        </w:tc>
        <w:tc>
          <w:tcPr>
            <w:tcW w:w="180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36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196-20 Northern Boulevard</w:t>
            </w:r>
          </w:p>
        </w:tc>
      </w:tr>
      <w:tr>
        <w:trPr>
          <w:trHeight w:val="203"/>
        </w:trPr>
        <w:tc>
          <w:tcPr>
            <w:tcW w:w="3280" w:type="dxa"/>
            <w:vAlign w:val="bottom"/>
          </w:tcPr>
          <w:p>
            <w:pPr>
              <w:spacing w:after="0"/>
              <w:rPr>
                <w:sz w:val="17"/>
                <w:szCs w:val="17"/>
                <w:color w:val="auto"/>
              </w:rPr>
            </w:pPr>
          </w:p>
        </w:tc>
        <w:tc>
          <w:tcPr>
            <w:tcW w:w="1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Flushing, NY</w:t>
            </w:r>
          </w:p>
        </w:tc>
        <w:tc>
          <w:tcPr>
            <w:tcW w:w="18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6"/>
              </w:rPr>
              <w:t>11358</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Douglas G. DeVivo</w:t>
            </w:r>
          </w:p>
        </w:tc>
        <w:tc>
          <w:tcPr>
            <w:tcW w:w="36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General Partner of ALCE</w:t>
            </w:r>
          </w:p>
        </w:tc>
      </w:tr>
      <w:tr>
        <w:trPr>
          <w:trHeight w:val="203"/>
        </w:trPr>
        <w:tc>
          <w:tcPr>
            <w:tcW w:w="3280" w:type="dxa"/>
            <w:vAlign w:val="bottom"/>
          </w:tcPr>
          <w:p>
            <w:pPr>
              <w:spacing w:after="0"/>
              <w:rPr>
                <w:sz w:val="17"/>
                <w:szCs w:val="17"/>
                <w:color w:val="auto"/>
              </w:rPr>
            </w:pPr>
          </w:p>
        </w:tc>
        <w:tc>
          <w:tcPr>
            <w:tcW w:w="1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Partners, L.P.</w:t>
            </w:r>
          </w:p>
        </w:tc>
        <w:tc>
          <w:tcPr>
            <w:tcW w:w="180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36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One First Street, Suite 16</w:t>
            </w:r>
          </w:p>
        </w:tc>
      </w:tr>
      <w:tr>
        <w:trPr>
          <w:trHeight w:val="203"/>
        </w:trPr>
        <w:tc>
          <w:tcPr>
            <w:tcW w:w="3280" w:type="dxa"/>
            <w:vAlign w:val="bottom"/>
          </w:tcPr>
          <w:p>
            <w:pPr>
              <w:spacing w:after="0"/>
              <w:rPr>
                <w:sz w:val="17"/>
                <w:szCs w:val="17"/>
                <w:color w:val="auto"/>
              </w:rPr>
            </w:pPr>
          </w:p>
        </w:tc>
        <w:tc>
          <w:tcPr>
            <w:tcW w:w="1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Los Altos, CA</w:t>
            </w:r>
          </w:p>
        </w:tc>
        <w:tc>
          <w:tcPr>
            <w:tcW w:w="18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94022</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Ronald L. Gallatin</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rPr>
              <w:t>Consultant</w:t>
            </w:r>
          </w:p>
        </w:tc>
        <w:tc>
          <w:tcPr>
            <w:tcW w:w="1800" w:type="dxa"/>
            <w:vAlign w:val="bottom"/>
          </w:tcPr>
          <w:p>
            <w:pPr>
              <w:spacing w:after="0"/>
              <w:rPr>
                <w:sz w:val="24"/>
                <w:szCs w:val="24"/>
                <w:color w:val="auto"/>
              </w:rPr>
            </w:pPr>
          </w:p>
        </w:tc>
      </w:tr>
      <w:tr>
        <w:trPr>
          <w:trHeight w:val="203"/>
        </w:trPr>
        <w:tc>
          <w:tcPr>
            <w:tcW w:w="3280" w:type="dxa"/>
            <w:vAlign w:val="bottom"/>
          </w:tcPr>
          <w:p>
            <w:pPr>
              <w:spacing w:after="0"/>
              <w:rPr>
                <w:sz w:val="17"/>
                <w:szCs w:val="17"/>
                <w:color w:val="auto"/>
              </w:rPr>
            </w:pPr>
          </w:p>
        </w:tc>
        <w:tc>
          <w:tcPr>
            <w:tcW w:w="36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Gabelli Securities, Inc.</w:t>
            </w:r>
          </w:p>
        </w:tc>
      </w:tr>
      <w:tr>
        <w:trPr>
          <w:trHeight w:val="203"/>
        </w:trPr>
        <w:tc>
          <w:tcPr>
            <w:tcW w:w="3280" w:type="dxa"/>
            <w:vAlign w:val="bottom"/>
          </w:tcPr>
          <w:p>
            <w:pPr>
              <w:spacing w:after="0"/>
              <w:rPr>
                <w:sz w:val="17"/>
                <w:szCs w:val="17"/>
                <w:color w:val="auto"/>
              </w:rPr>
            </w:pPr>
          </w:p>
        </w:tc>
        <w:tc>
          <w:tcPr>
            <w:tcW w:w="36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One Corporate Center</w:t>
            </w:r>
          </w:p>
        </w:tc>
      </w:tr>
      <w:tr>
        <w:trPr>
          <w:trHeight w:val="203"/>
        </w:trPr>
        <w:tc>
          <w:tcPr>
            <w:tcW w:w="3280" w:type="dxa"/>
            <w:vAlign w:val="bottom"/>
          </w:tcPr>
          <w:p>
            <w:pPr>
              <w:spacing w:after="0"/>
              <w:rPr>
                <w:sz w:val="17"/>
                <w:szCs w:val="17"/>
                <w:color w:val="auto"/>
              </w:rPr>
            </w:pPr>
          </w:p>
        </w:tc>
        <w:tc>
          <w:tcPr>
            <w:tcW w:w="1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Rye, NY  10580</w:t>
            </w:r>
          </w:p>
        </w:tc>
        <w:tc>
          <w:tcPr>
            <w:tcW w:w="1800" w:type="dxa"/>
            <w:vAlign w:val="bottom"/>
          </w:tcPr>
          <w:p>
            <w:pPr>
              <w:spacing w:after="0"/>
              <w:rPr>
                <w:sz w:val="17"/>
                <w:szCs w:val="17"/>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Gary P. Watson</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rPr>
              <w:t>See below</w:t>
            </w:r>
          </w:p>
        </w:tc>
        <w:tc>
          <w:tcPr>
            <w:tcW w:w="180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Joseph R. Rindler, Jr.</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rPr>
              <w:t>See above</w:t>
            </w:r>
          </w:p>
        </w:tc>
        <w:tc>
          <w:tcPr>
            <w:tcW w:w="18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ectPr>
          <w:pgSz w:w="11900" w:h="16838" w:orient="portrait"/>
          <w:cols w:equalWidth="0" w:num="1">
            <w:col w:w="10219"/>
          </w:cols>
          <w:pgMar w:left="240" w:top="514" w:right="1440" w:bottom="0" w:gutter="0" w:footer="0" w:header="0"/>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Gary P. Watson</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and Admin-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istrative Officer</w:t>
      </w:r>
    </w:p>
    <w:p>
      <w:pPr>
        <w:spacing w:after="0" w:line="200" w:lineRule="exact"/>
        <w:rPr>
          <w:sz w:val="20"/>
          <w:szCs w:val="20"/>
          <w:color w:val="auto"/>
        </w:rPr>
      </w:pPr>
    </w:p>
    <w:p>
      <w:pPr>
        <w:sectPr>
          <w:pgSz w:w="11900" w:h="16838" w:orient="portrait"/>
          <w:cols w:equalWidth="0" w:num="2">
            <w:col w:w="2980" w:space="720"/>
            <w:col w:w="6519"/>
          </w:cols>
          <w:pgMar w:left="240" w:top="514" w:right="1440" w:bottom="0" w:gutter="0" w:footer="0" w:header="0"/>
          <w:type w:val="continuous"/>
        </w:sect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Stephen G. Bondi</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w:t>
      </w:r>
    </w:p>
    <w:p>
      <w:pPr>
        <w:spacing w:after="0" w:line="200" w:lineRule="exact"/>
        <w:rPr>
          <w:sz w:val="20"/>
          <w:szCs w:val="20"/>
          <w:color w:val="auto"/>
        </w:rPr>
      </w:pPr>
    </w:p>
    <w:p>
      <w:pPr>
        <w:sectPr>
          <w:pgSz w:w="11900" w:h="16838" w:orient="portrait"/>
          <w:cols w:equalWidth="0" w:num="2">
            <w:col w:w="2980" w:space="720"/>
            <w:col w:w="6519"/>
          </w:cols>
          <w:pgMar w:left="240" w:top="514"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James E. McKee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w:t>
      </w:r>
    </w:p>
    <w:p>
      <w:pPr>
        <w:spacing w:after="0" w:line="200" w:lineRule="exact"/>
        <w:rPr>
          <w:sz w:val="20"/>
          <w:szCs w:val="20"/>
          <w:color w:val="auto"/>
        </w:rPr>
      </w:pPr>
    </w:p>
    <w:p>
      <w:pPr>
        <w:sectPr>
          <w:pgSz w:w="11900" w:h="16838" w:orient="portrait"/>
          <w:cols w:equalWidth="0" w:num="2">
            <w:col w:w="2980" w:space="720"/>
            <w:col w:w="6519"/>
          </w:cols>
          <w:pgMar w:left="240" w:top="514"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Gabelli &amp; Company, Inc.</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ectPr>
          <w:pgSz w:w="11900" w:h="16838" w:orient="portrait"/>
          <w:cols w:equalWidth="0" w:num="1">
            <w:col w:w="10219"/>
          </w:cols>
          <w:pgMar w:left="240" w:top="514" w:right="1440" w:bottom="0" w:gutter="0" w:footer="0" w:header="0"/>
          <w:type w:val="continuous"/>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James G. Webster, III</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w:t>
      </w:r>
    </w:p>
    <w:p>
      <w:pPr>
        <w:spacing w:after="0" w:line="200" w:lineRule="exact"/>
        <w:rPr>
          <w:sz w:val="20"/>
          <w:szCs w:val="20"/>
          <w:color w:val="auto"/>
        </w:rPr>
      </w:pPr>
    </w:p>
    <w:p>
      <w:pPr>
        <w:sectPr>
          <w:pgSz w:w="11900" w:h="16838" w:orient="portrait"/>
          <w:cols w:equalWidth="0" w:num="2">
            <w:col w:w="2980" w:space="720"/>
            <w:col w:w="6519"/>
          </w:cols>
          <w:pgMar w:left="240" w:top="514"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Stephen G. Bondi</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w:t>
      </w:r>
    </w:p>
    <w:p>
      <w:pPr>
        <w:sectPr>
          <w:pgSz w:w="11900" w:h="16838" w:orient="portrait"/>
          <w:cols w:equalWidth="0" w:num="2">
            <w:col w:w="2980" w:space="720"/>
            <w:col w:w="6519"/>
          </w:cols>
          <w:pgMar w:left="240" w:top="514" w:right="1440" w:bottom="0" w:gutter="0" w:footer="0" w:header="0"/>
          <w:type w:val="continuous"/>
        </w:sectPr>
      </w:pPr>
    </w:p>
    <w:bookmarkStart w:id="13" w:name="page14"/>
    <w:bookmarkEnd w:id="13"/>
    <w:p>
      <w:pPr>
        <w:ind w:left="540"/>
        <w:spacing w:after="0"/>
        <w:rPr>
          <w:sz w:val="20"/>
          <w:szCs w:val="20"/>
          <w:color w:val="auto"/>
        </w:rPr>
      </w:pPr>
      <w:r>
        <w:rPr>
          <w:rFonts w:ascii="Courier New" w:cs="Courier New" w:eastAsia="Courier New" w:hAnsi="Courier New"/>
          <w:sz w:val="16"/>
          <w:szCs w:val="16"/>
          <w:color w:val="auto"/>
        </w:rPr>
        <w:t>Donald C. Jenkins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 of Research</w:t>
      </w:r>
    </w:p>
    <w:p>
      <w:pPr>
        <w:spacing w:after="0" w:line="200" w:lineRule="exact"/>
        <w:rPr>
          <w:sz w:val="20"/>
          <w:szCs w:val="20"/>
          <w:color w:val="auto"/>
        </w:rPr>
      </w:pPr>
    </w:p>
    <w:p>
      <w:pPr>
        <w:sectPr>
          <w:pgSz w:w="11900" w:h="16838" w:orient="portrait"/>
          <w:cols w:equalWidth="0" w:num="2">
            <w:col w:w="2980" w:space="720"/>
            <w:col w:w="6519"/>
          </w:cols>
          <w:pgMar w:left="240" w:top="344" w:right="1440" w:bottom="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Officers:</w:t>
      </w:r>
    </w:p>
    <w:p>
      <w:pPr>
        <w:sectPr>
          <w:pgSz w:w="11900" w:h="16838" w:orient="portrait"/>
          <w:cols w:equalWidth="0" w:num="1">
            <w:col w:w="10219"/>
          </w:cols>
          <w:pgMar w:left="240" w:top="344" w:right="1440" w:bottom="0" w:gutter="0" w:footer="0" w:header="0"/>
          <w:type w:val="continuous"/>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James G. Webster, III</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w:t>
      </w:r>
    </w:p>
    <w:p>
      <w:pPr>
        <w:spacing w:after="0" w:line="200" w:lineRule="exact"/>
        <w:rPr>
          <w:sz w:val="20"/>
          <w:szCs w:val="20"/>
          <w:color w:val="auto"/>
        </w:rPr>
      </w:pPr>
    </w:p>
    <w:p>
      <w:pPr>
        <w:sectPr>
          <w:pgSz w:w="11900" w:h="16838" w:orient="portrait"/>
          <w:cols w:equalWidth="0" w:num="2">
            <w:col w:w="2980" w:space="720"/>
            <w:col w:w="6519"/>
          </w:cols>
          <w:pgMar w:left="240" w:top="344"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Stephen G. Bondi</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w:t>
      </w:r>
    </w:p>
    <w:p>
      <w:pPr>
        <w:spacing w:after="0" w:line="200" w:lineRule="exact"/>
        <w:rPr>
          <w:sz w:val="20"/>
          <w:szCs w:val="20"/>
          <w:color w:val="auto"/>
        </w:rPr>
      </w:pPr>
    </w:p>
    <w:p>
      <w:pPr>
        <w:sectPr>
          <w:pgSz w:w="11900" w:h="16838" w:orient="portrait"/>
          <w:cols w:equalWidth="0" w:num="2">
            <w:col w:w="2980" w:space="720"/>
            <w:col w:w="6519"/>
          </w:cols>
          <w:pgMar w:left="240" w:top="344"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Bruce N. Alpert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President-Mutual Funds</w:t>
      </w:r>
    </w:p>
    <w:p>
      <w:pPr>
        <w:spacing w:after="0" w:line="200" w:lineRule="exact"/>
        <w:rPr>
          <w:sz w:val="20"/>
          <w:szCs w:val="20"/>
          <w:color w:val="auto"/>
        </w:rPr>
      </w:pPr>
    </w:p>
    <w:p>
      <w:pPr>
        <w:sectPr>
          <w:pgSz w:w="11900" w:h="16838" w:orient="portrait"/>
          <w:cols w:equalWidth="0" w:num="2">
            <w:col w:w="2980" w:space="720"/>
            <w:col w:w="6519"/>
          </w:cols>
          <w:pgMar w:left="240" w:top="344"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Walter K. Walsh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Compliance Officer</w:t>
      </w:r>
    </w:p>
    <w:p>
      <w:pPr>
        <w:spacing w:after="0" w:line="200" w:lineRule="exact"/>
        <w:rPr>
          <w:sz w:val="20"/>
          <w:szCs w:val="20"/>
          <w:color w:val="auto"/>
        </w:rPr>
      </w:pPr>
    </w:p>
    <w:p>
      <w:pPr>
        <w:sectPr>
          <w:pgSz w:w="11900" w:h="16838" w:orient="portrait"/>
          <w:cols w:equalWidth="0" w:num="2">
            <w:col w:w="2980" w:space="720"/>
            <w:col w:w="6519"/>
          </w:cols>
          <w:pgMar w:left="240" w:top="344"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James E. McKee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w:t>
      </w:r>
    </w:p>
    <w:p>
      <w:pPr>
        <w:spacing w:after="0" w:line="200" w:lineRule="exact"/>
        <w:rPr>
          <w:sz w:val="20"/>
          <w:szCs w:val="20"/>
          <w:color w:val="auto"/>
        </w:rPr>
      </w:pPr>
    </w:p>
    <w:p>
      <w:pPr>
        <w:sectPr>
          <w:pgSz w:w="11900" w:h="16838" w:orient="portrait"/>
          <w:cols w:equalWidth="0" w:num="2">
            <w:col w:w="2980" w:space="720"/>
            <w:col w:w="6519"/>
          </w:cols>
          <w:pgMar w:left="240" w:top="344" w:right="1440" w:bottom="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GLI, Inc.</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Mario J. Gabelli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above-Gabelli Funds, Inc.</w:t>
      </w:r>
    </w:p>
    <w:p>
      <w:pPr>
        <w:spacing w:after="0" w:line="200" w:lineRule="exact"/>
        <w:rPr>
          <w:sz w:val="20"/>
          <w:szCs w:val="20"/>
          <w:color w:val="auto"/>
        </w:rPr>
      </w:pPr>
    </w:p>
    <w:p>
      <w:pPr>
        <w:sectPr>
          <w:pgSz w:w="11900" w:h="16838" w:orient="portrait"/>
          <w:cols w:equalWidth="0" w:num="2">
            <w:col w:w="2980" w:space="720"/>
            <w:col w:w="6519"/>
          </w:cols>
          <w:pgMar w:left="240" w:top="344" w:right="1440" w:bottom="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Mario J. Gabelli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and Chief Investment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2980" w:space="720"/>
            <w:col w:w="6519"/>
          </w:cols>
          <w:pgMar w:left="240" w:top="344"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Stephen G. Bondi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w:t>
      </w:r>
    </w:p>
    <w:p>
      <w:pPr>
        <w:spacing w:after="0" w:line="200" w:lineRule="exact"/>
        <w:rPr>
          <w:sz w:val="20"/>
          <w:szCs w:val="20"/>
          <w:color w:val="auto"/>
        </w:rPr>
      </w:pPr>
    </w:p>
    <w:p>
      <w:pPr>
        <w:sectPr>
          <w:pgSz w:w="11900" w:h="16838" w:orient="portrait"/>
          <w:cols w:equalWidth="0" w:num="2">
            <w:col w:w="2980" w:space="720"/>
            <w:col w:w="6519"/>
          </w:cols>
          <w:pgMar w:left="240" w:top="34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rPr>
              <w:t>Gabelli Associates Limited</w:t>
            </w:r>
          </w:p>
        </w:tc>
        <w:tc>
          <w:tcPr>
            <w:tcW w:w="4000" w:type="dxa"/>
            <w:vAlign w:val="bottom"/>
          </w:tcPr>
          <w:p>
            <w:pPr>
              <w:spacing w:after="0"/>
              <w:rPr>
                <w:sz w:val="17"/>
                <w:szCs w:val="17"/>
                <w:color w:val="auto"/>
              </w:rPr>
            </w:pP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4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405"/>
        </w:trPr>
        <w:tc>
          <w:tcPr>
            <w:tcW w:w="33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See above-Gabelli Funds, Inc.</w:t>
            </w:r>
          </w:p>
        </w:tc>
      </w:tr>
      <w:tr>
        <w:trPr>
          <w:trHeight w:val="405"/>
        </w:trPr>
        <w:tc>
          <w:tcPr>
            <w:tcW w:w="1900" w:type="dxa"/>
            <w:vAlign w:val="bottom"/>
          </w:tcPr>
          <w:p>
            <w:pPr>
              <w:ind w:left="540"/>
              <w:spacing w:after="0"/>
              <w:rPr>
                <w:sz w:val="20"/>
                <w:szCs w:val="20"/>
                <w:color w:val="auto"/>
              </w:rPr>
            </w:pPr>
            <w:r>
              <w:rPr>
                <w:rFonts w:ascii="Courier New" w:cs="Courier New" w:eastAsia="Courier New" w:hAnsi="Courier New"/>
                <w:sz w:val="18"/>
                <w:szCs w:val="18"/>
                <w:color w:val="auto"/>
              </w:rPr>
              <w:t>MeesPierson</w:t>
            </w:r>
          </w:p>
        </w:tc>
        <w:tc>
          <w:tcPr>
            <w:tcW w:w="1480" w:type="dxa"/>
            <w:vAlign w:val="bottom"/>
          </w:tcPr>
          <w:p>
            <w:pPr>
              <w:spacing w:after="0"/>
              <w:rPr>
                <w:sz w:val="20"/>
                <w:szCs w:val="20"/>
                <w:color w:val="auto"/>
              </w:rPr>
            </w:pPr>
            <w:r>
              <w:rPr>
                <w:rFonts w:ascii="Courier New" w:cs="Courier New" w:eastAsia="Courier New" w:hAnsi="Courier New"/>
                <w:sz w:val="18"/>
                <w:szCs w:val="18"/>
                <w:color w:val="auto"/>
              </w:rPr>
              <w:t>(Cayman)</w:t>
            </w: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British American Centre</w:t>
            </w:r>
          </w:p>
        </w:tc>
      </w:tr>
      <w:tr>
        <w:trPr>
          <w:trHeight w:val="203"/>
        </w:trPr>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Limited</w:t>
            </w:r>
          </w:p>
        </w:tc>
        <w:tc>
          <w:tcPr>
            <w:tcW w:w="148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Dr. Roy's Drive- Phase 3</w:t>
            </w:r>
          </w:p>
        </w:tc>
      </w:tr>
      <w:tr>
        <w:trPr>
          <w:trHeight w:val="203"/>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Georgetown, Grand Cayman</w:t>
            </w:r>
          </w:p>
        </w:tc>
      </w:tr>
      <w:tr>
        <w:trPr>
          <w:trHeight w:val="203"/>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Cayman Islands, British</w:t>
            </w:r>
          </w:p>
        </w:tc>
      </w:tr>
      <w:tr>
        <w:trPr>
          <w:trHeight w:val="203"/>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WestIndies</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4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405"/>
        </w:trPr>
        <w:tc>
          <w:tcPr>
            <w:tcW w:w="33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Chief Investment Officer</w:t>
            </w:r>
          </w:p>
        </w:tc>
      </w:tr>
      <w:tr>
        <w:trPr>
          <w:trHeight w:val="405"/>
        </w:trPr>
        <w:tc>
          <w:tcPr>
            <w:tcW w:w="1900" w:type="dxa"/>
            <w:vAlign w:val="bottom"/>
          </w:tcPr>
          <w:p>
            <w:pPr>
              <w:ind w:left="540"/>
              <w:spacing w:after="0"/>
              <w:rPr>
                <w:sz w:val="20"/>
                <w:szCs w:val="20"/>
                <w:color w:val="auto"/>
              </w:rPr>
            </w:pPr>
            <w:r>
              <w:rPr>
                <w:rFonts w:ascii="Courier New" w:cs="Courier New" w:eastAsia="Courier New" w:hAnsi="Courier New"/>
                <w:sz w:val="18"/>
                <w:szCs w:val="18"/>
                <w:color w:val="auto"/>
                <w:w w:val="95"/>
              </w:rPr>
              <w:t>Kevin Bromley</w:t>
            </w:r>
          </w:p>
        </w:tc>
        <w:tc>
          <w:tcPr>
            <w:tcW w:w="1480" w:type="dxa"/>
            <w:vAlign w:val="bottom"/>
          </w:tcPr>
          <w:p>
            <w:pPr>
              <w:spacing w:after="0"/>
              <w:rPr>
                <w:sz w:val="24"/>
                <w:szCs w:val="24"/>
                <w:color w:val="auto"/>
              </w:rPr>
            </w:pP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Vice President, Treasurer and</w:t>
            </w:r>
          </w:p>
        </w:tc>
      </w:tr>
      <w:tr>
        <w:trPr>
          <w:trHeight w:val="203"/>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Assistant Secretary</w:t>
            </w:r>
          </w:p>
        </w:tc>
      </w:tr>
      <w:tr>
        <w:trPr>
          <w:trHeight w:val="405"/>
        </w:trPr>
        <w:tc>
          <w:tcPr>
            <w:tcW w:w="1900" w:type="dxa"/>
            <w:vAlign w:val="bottom"/>
          </w:tcPr>
          <w:p>
            <w:pPr>
              <w:ind w:left="540"/>
              <w:spacing w:after="0"/>
              <w:rPr>
                <w:sz w:val="20"/>
                <w:szCs w:val="20"/>
                <w:color w:val="auto"/>
              </w:rPr>
            </w:pPr>
            <w:r>
              <w:rPr>
                <w:rFonts w:ascii="Courier New" w:cs="Courier New" w:eastAsia="Courier New" w:hAnsi="Courier New"/>
                <w:sz w:val="18"/>
                <w:szCs w:val="18"/>
                <w:color w:val="auto"/>
              </w:rPr>
              <w:t>Sandra Wight</w:t>
            </w:r>
          </w:p>
        </w:tc>
        <w:tc>
          <w:tcPr>
            <w:tcW w:w="1480" w:type="dxa"/>
            <w:vAlign w:val="bottom"/>
          </w:tcPr>
          <w:p>
            <w:pPr>
              <w:spacing w:after="0"/>
              <w:rPr>
                <w:sz w:val="24"/>
                <w:szCs w:val="24"/>
                <w:color w:val="auto"/>
              </w:rPr>
            </w:pP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Secretary and Assistant Treasurer</w:t>
            </w:r>
          </w:p>
        </w:tc>
      </w:tr>
      <w:tr>
        <w:trPr>
          <w:trHeight w:val="608"/>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rPr>
              <w:t>Gabelli International Limited</w:t>
            </w:r>
          </w:p>
        </w:tc>
        <w:tc>
          <w:tcPr>
            <w:tcW w:w="4000" w:type="dxa"/>
            <w:vAlign w:val="bottom"/>
          </w:tcPr>
          <w:p>
            <w:pPr>
              <w:spacing w:after="0"/>
              <w:rPr>
                <w:sz w:val="24"/>
                <w:szCs w:val="24"/>
                <w:color w:val="auto"/>
              </w:rPr>
            </w:pP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4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405"/>
        </w:trPr>
        <w:tc>
          <w:tcPr>
            <w:tcW w:w="33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See above-Gabelli Funds, Inc.</w:t>
            </w:r>
          </w:p>
        </w:tc>
      </w:tr>
      <w:tr>
        <w:trPr>
          <w:trHeight w:val="405"/>
        </w:trPr>
        <w:tc>
          <w:tcPr>
            <w:tcW w:w="1900" w:type="dxa"/>
            <w:vAlign w:val="bottom"/>
          </w:tcPr>
          <w:p>
            <w:pPr>
              <w:ind w:left="540"/>
              <w:spacing w:after="0"/>
              <w:rPr>
                <w:sz w:val="20"/>
                <w:szCs w:val="20"/>
                <w:color w:val="auto"/>
              </w:rPr>
            </w:pPr>
            <w:r>
              <w:rPr>
                <w:rFonts w:ascii="Courier New" w:cs="Courier New" w:eastAsia="Courier New" w:hAnsi="Courier New"/>
                <w:sz w:val="18"/>
                <w:szCs w:val="18"/>
                <w:color w:val="auto"/>
              </w:rPr>
              <w:t>MeesPierson</w:t>
            </w:r>
          </w:p>
        </w:tc>
        <w:tc>
          <w:tcPr>
            <w:tcW w:w="1480" w:type="dxa"/>
            <w:vAlign w:val="bottom"/>
          </w:tcPr>
          <w:p>
            <w:pPr>
              <w:spacing w:after="0"/>
              <w:rPr>
                <w:sz w:val="20"/>
                <w:szCs w:val="20"/>
                <w:color w:val="auto"/>
              </w:rPr>
            </w:pPr>
            <w:r>
              <w:rPr>
                <w:rFonts w:ascii="Courier New" w:cs="Courier New" w:eastAsia="Courier New" w:hAnsi="Courier New"/>
                <w:sz w:val="18"/>
                <w:szCs w:val="18"/>
                <w:color w:val="auto"/>
              </w:rPr>
              <w:t>(Cayman)</w:t>
            </w: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British American Centre</w:t>
            </w:r>
          </w:p>
        </w:tc>
      </w:tr>
      <w:tr>
        <w:trPr>
          <w:trHeight w:val="203"/>
        </w:trPr>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Limited</w:t>
            </w:r>
          </w:p>
        </w:tc>
        <w:tc>
          <w:tcPr>
            <w:tcW w:w="148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Dr. Roy's Drive- Phase 3</w:t>
            </w:r>
          </w:p>
        </w:tc>
      </w:tr>
      <w:tr>
        <w:trPr>
          <w:trHeight w:val="203"/>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Georgetown, Grand Cayman</w:t>
            </w:r>
          </w:p>
        </w:tc>
      </w:tr>
      <w:tr>
        <w:trPr>
          <w:trHeight w:val="203"/>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Cayman Islands, British West Indies</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4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405"/>
        </w:trPr>
        <w:tc>
          <w:tcPr>
            <w:tcW w:w="1900" w:type="dxa"/>
            <w:vAlign w:val="bottom"/>
          </w:tcPr>
          <w:p>
            <w:pPr>
              <w:ind w:left="540"/>
              <w:spacing w:after="0"/>
              <w:rPr>
                <w:sz w:val="20"/>
                <w:szCs w:val="20"/>
                <w:color w:val="auto"/>
              </w:rPr>
            </w:pPr>
            <w:r>
              <w:rPr>
                <w:rFonts w:ascii="Courier New" w:cs="Courier New" w:eastAsia="Courier New" w:hAnsi="Courier New"/>
                <w:sz w:val="18"/>
                <w:szCs w:val="18"/>
                <w:color w:val="auto"/>
                <w:w w:val="95"/>
              </w:rPr>
              <w:t>Kevin Bromley</w:t>
            </w:r>
          </w:p>
        </w:tc>
        <w:tc>
          <w:tcPr>
            <w:tcW w:w="1480" w:type="dxa"/>
            <w:vAlign w:val="bottom"/>
          </w:tcPr>
          <w:p>
            <w:pPr>
              <w:spacing w:after="0"/>
              <w:rPr>
                <w:sz w:val="24"/>
                <w:szCs w:val="24"/>
                <w:color w:val="auto"/>
              </w:rPr>
            </w:pP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Vice President, Treasurer, and</w:t>
            </w:r>
          </w:p>
        </w:tc>
      </w:tr>
      <w:tr>
        <w:trPr>
          <w:trHeight w:val="203"/>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Assistant Secretary</w:t>
            </w:r>
          </w:p>
        </w:tc>
      </w:tr>
      <w:tr>
        <w:trPr>
          <w:trHeight w:val="203"/>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MeesPierson (Cayman) Limited</w:t>
            </w:r>
          </w:p>
        </w:tc>
      </w:tr>
      <w:tr>
        <w:trPr>
          <w:trHeight w:val="203"/>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British American Centre</w:t>
            </w:r>
          </w:p>
        </w:tc>
      </w:tr>
      <w:tr>
        <w:trPr>
          <w:trHeight w:val="203"/>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Dr. Roy's Drive- Phase 3</w:t>
            </w:r>
          </w:p>
        </w:tc>
      </w:tr>
    </w:tbl>
    <w:p>
      <w:pPr>
        <w:sectPr>
          <w:pgSz w:w="11900" w:h="16838" w:orient="portrait"/>
          <w:cols w:equalWidth="0" w:num="1">
            <w:col w:w="10219"/>
          </w:cols>
          <w:pgMar w:left="240" w:top="344" w:right="1440" w:bottom="0" w:gutter="0" w:footer="0" w:header="0"/>
          <w:type w:val="continuous"/>
        </w:sectPr>
      </w:pPr>
    </w:p>
    <w:bookmarkStart w:id="14" w:name="page15"/>
    <w:bookmarkEnd w:id="14"/>
    <w:p>
      <w:pPr>
        <w:ind w:left="3700"/>
        <w:spacing w:after="0"/>
        <w:rPr>
          <w:sz w:val="20"/>
          <w:szCs w:val="20"/>
          <w:color w:val="auto"/>
        </w:rPr>
      </w:pPr>
      <w:r>
        <w:rPr>
          <w:rFonts w:ascii="Courier New" w:cs="Courier New" w:eastAsia="Courier New" w:hAnsi="Courier New"/>
          <w:sz w:val="18"/>
          <w:szCs w:val="18"/>
          <w:color w:val="auto"/>
        </w:rPr>
        <w:t>Georgetown, Grand Cayman</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Cayman Islands, British West Indies</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Sandra Wight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and Assistant Treasurer</w:t>
      </w:r>
    </w:p>
    <w:p>
      <w:pPr>
        <w:spacing w:after="0" w:line="238" w:lineRule="auto"/>
        <w:rPr>
          <w:sz w:val="20"/>
          <w:szCs w:val="20"/>
          <w:color w:val="auto"/>
        </w:rPr>
      </w:pPr>
      <w:r>
        <w:rPr>
          <w:rFonts w:ascii="Courier New" w:cs="Courier New" w:eastAsia="Courier New" w:hAnsi="Courier New"/>
          <w:sz w:val="18"/>
          <w:szCs w:val="18"/>
          <w:color w:val="auto"/>
        </w:rPr>
        <w:t>Assistant Secretary</w:t>
      </w:r>
    </w:p>
    <w:p>
      <w:pPr>
        <w:spacing w:after="0"/>
        <w:rPr>
          <w:sz w:val="20"/>
          <w:szCs w:val="20"/>
          <w:color w:val="auto"/>
        </w:rPr>
      </w:pPr>
      <w:r>
        <w:rPr>
          <w:rFonts w:ascii="Courier New" w:cs="Courier New" w:eastAsia="Courier New" w:hAnsi="Courier New"/>
          <w:sz w:val="18"/>
          <w:szCs w:val="18"/>
          <w:color w:val="auto"/>
        </w:rPr>
        <w:t>MeesPierson (Cayman) Limited</w:t>
      </w:r>
    </w:p>
    <w:p>
      <w:pPr>
        <w:spacing w:after="0" w:line="237" w:lineRule="auto"/>
        <w:rPr>
          <w:sz w:val="20"/>
          <w:szCs w:val="20"/>
          <w:color w:val="auto"/>
        </w:rPr>
      </w:pPr>
      <w:r>
        <w:rPr>
          <w:rFonts w:ascii="Courier New" w:cs="Courier New" w:eastAsia="Courier New" w:hAnsi="Courier New"/>
          <w:sz w:val="18"/>
          <w:szCs w:val="18"/>
          <w:color w:val="auto"/>
        </w:rPr>
        <w:t>British American Centre</w:t>
      </w:r>
    </w:p>
    <w:p>
      <w:pPr>
        <w:spacing w:after="0" w:line="238" w:lineRule="auto"/>
        <w:rPr>
          <w:sz w:val="20"/>
          <w:szCs w:val="20"/>
          <w:color w:val="auto"/>
        </w:rPr>
      </w:pPr>
      <w:r>
        <w:rPr>
          <w:rFonts w:ascii="Courier New" w:cs="Courier New" w:eastAsia="Courier New" w:hAnsi="Courier New"/>
          <w:sz w:val="18"/>
          <w:szCs w:val="18"/>
          <w:color w:val="auto"/>
        </w:rPr>
        <w:t>Dr. Roy's Drive- Phase 3</w:t>
      </w:r>
    </w:p>
    <w:p>
      <w:pPr>
        <w:spacing w:after="0"/>
        <w:rPr>
          <w:sz w:val="20"/>
          <w:szCs w:val="20"/>
          <w:color w:val="auto"/>
        </w:rPr>
      </w:pPr>
      <w:r>
        <w:rPr>
          <w:rFonts w:ascii="Courier New" w:cs="Courier New" w:eastAsia="Courier New" w:hAnsi="Courier New"/>
          <w:sz w:val="18"/>
          <w:szCs w:val="18"/>
          <w:color w:val="auto"/>
        </w:rPr>
        <w:t>Georgetown, Grand Cayman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Cayman Islands, British West Indies</w:t>
      </w:r>
    </w:p>
    <w:p>
      <w:pPr>
        <w:spacing w:after="0" w:line="200" w:lineRule="exact"/>
        <w:rPr>
          <w:sz w:val="20"/>
          <w:szCs w:val="20"/>
          <w:color w:val="auto"/>
        </w:rPr>
      </w:pPr>
    </w:p>
    <w:p>
      <w:pPr>
        <w:sectPr>
          <w:pgSz w:w="11900" w:h="16838" w:orient="portrait"/>
          <w:cols w:equalWidth="0" w:num="2">
            <w:col w:w="2980" w:space="720"/>
            <w:col w:w="65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Gemini Capitial Management Ltd.</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Marc J. Gabelli</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above-Gabelli Funds, Inc.</w:t>
      </w:r>
    </w:p>
    <w:p>
      <w:pPr>
        <w:spacing w:after="0" w:line="200" w:lineRule="exact"/>
        <w:rPr>
          <w:sz w:val="20"/>
          <w:szCs w:val="20"/>
          <w:color w:val="auto"/>
        </w:rPr>
      </w:pPr>
    </w:p>
    <w:p>
      <w:pPr>
        <w:sectPr>
          <w:pgSz w:w="11900" w:h="16838" w:orient="portrait"/>
          <w:cols w:equalWidth="0" w:num="2">
            <w:col w:w="2980" w:space="720"/>
            <w:col w:w="6519"/>
          </w:cols>
          <w:pgMar w:left="240" w:top="136"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Stephen G. Bondi</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Above-Gabelli Funds, Inc.</w:t>
      </w:r>
    </w:p>
    <w:p>
      <w:pPr>
        <w:spacing w:after="0" w:line="200" w:lineRule="exact"/>
        <w:rPr>
          <w:sz w:val="20"/>
          <w:szCs w:val="20"/>
          <w:color w:val="auto"/>
        </w:rPr>
      </w:pPr>
    </w:p>
    <w:p>
      <w:pPr>
        <w:sectPr>
          <w:pgSz w:w="11900" w:h="16838" w:orient="portrait"/>
          <w:cols w:equalWidth="0" w:num="2">
            <w:col w:w="2980" w:space="720"/>
            <w:col w:w="6519"/>
          </w:cols>
          <w:pgMar w:left="240" w:top="136"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Michael A. Salatto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Controller</w:t>
      </w:r>
    </w:p>
    <w:p>
      <w:pPr>
        <w:spacing w:after="0" w:line="200" w:lineRule="exact"/>
        <w:rPr>
          <w:sz w:val="20"/>
          <w:szCs w:val="20"/>
          <w:color w:val="auto"/>
        </w:rPr>
      </w:pPr>
    </w:p>
    <w:p>
      <w:pPr>
        <w:sectPr>
          <w:pgSz w:w="11900" w:h="16838" w:orient="portrait"/>
          <w:cols w:equalWidth="0" w:num="2">
            <w:col w:w="2980" w:space="720"/>
            <w:col w:w="6519"/>
          </w:cols>
          <w:pgMar w:left="240" w:top="136"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Michael J. Burns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Appleby, Spurling &amp; Kempe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Cedar House</w:t>
      </w:r>
    </w:p>
    <w:p>
      <w:pPr>
        <w:spacing w:after="0" w:line="238" w:lineRule="auto"/>
        <w:rPr>
          <w:sz w:val="20"/>
          <w:szCs w:val="20"/>
          <w:color w:val="auto"/>
        </w:rPr>
      </w:pPr>
      <w:r>
        <w:rPr>
          <w:rFonts w:ascii="Courier New" w:cs="Courier New" w:eastAsia="Courier New" w:hAnsi="Courier New"/>
          <w:sz w:val="18"/>
          <w:szCs w:val="18"/>
          <w:color w:val="auto"/>
        </w:rPr>
        <w:t>41 Cedar Avenue</w:t>
      </w:r>
    </w:p>
    <w:p>
      <w:pPr>
        <w:spacing w:after="0"/>
        <w:rPr>
          <w:sz w:val="20"/>
          <w:szCs w:val="20"/>
          <w:color w:val="auto"/>
        </w:rPr>
      </w:pPr>
      <w:r>
        <w:rPr>
          <w:rFonts w:ascii="Courier New" w:cs="Courier New" w:eastAsia="Courier New" w:hAnsi="Courier New"/>
          <w:sz w:val="18"/>
          <w:szCs w:val="18"/>
          <w:color w:val="auto"/>
        </w:rPr>
        <w:t>Hamilton, HM12</w:t>
      </w:r>
    </w:p>
    <w:p>
      <w:pPr>
        <w:spacing w:after="0" w:line="237" w:lineRule="auto"/>
        <w:rPr>
          <w:sz w:val="20"/>
          <w:szCs w:val="20"/>
          <w:color w:val="auto"/>
        </w:rPr>
      </w:pPr>
      <w:r>
        <w:rPr>
          <w:rFonts w:ascii="Courier New" w:cs="Courier New" w:eastAsia="Courier New" w:hAnsi="Courier New"/>
          <w:sz w:val="18"/>
          <w:szCs w:val="18"/>
          <w:color w:val="auto"/>
        </w:rPr>
        <w:t>Bermuda</w:t>
      </w:r>
    </w:p>
    <w:p>
      <w:pPr>
        <w:spacing w:after="0" w:line="200" w:lineRule="exact"/>
        <w:rPr>
          <w:sz w:val="20"/>
          <w:szCs w:val="20"/>
          <w:color w:val="auto"/>
        </w:rPr>
      </w:pPr>
    </w:p>
    <w:p>
      <w:pPr>
        <w:sectPr>
          <w:pgSz w:w="11900" w:h="16838" w:orient="portrait"/>
          <w:cols w:equalWidth="0" w:num="2">
            <w:col w:w="2980" w:space="720"/>
            <w:col w:w="65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ind w:left="540"/>
              <w:spacing w:after="0"/>
              <w:rPr>
                <w:sz w:val="20"/>
                <w:szCs w:val="20"/>
                <w:color w:val="auto"/>
              </w:rPr>
            </w:pPr>
            <w:r>
              <w:rPr>
                <w:rFonts w:ascii="Courier New" w:cs="Courier New" w:eastAsia="Courier New" w:hAnsi="Courier New"/>
                <w:sz w:val="18"/>
                <w:szCs w:val="18"/>
                <w:color w:val="auto"/>
              </w:rPr>
              <w:t>Douglas Molyneux</w:t>
            </w:r>
          </w:p>
        </w:tc>
        <w:tc>
          <w:tcPr>
            <w:tcW w:w="378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Appleby, Spurling &amp; Kempe</w:t>
            </w:r>
          </w:p>
        </w:tc>
      </w:tr>
      <w:tr>
        <w:trPr>
          <w:trHeight w:val="203"/>
        </w:trPr>
        <w:tc>
          <w:tcPr>
            <w:tcW w:w="296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Cedar House</w:t>
            </w:r>
          </w:p>
        </w:tc>
        <w:tc>
          <w:tcPr>
            <w:tcW w:w="13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41 Cedar Avenue</w:t>
            </w:r>
          </w:p>
        </w:tc>
        <w:tc>
          <w:tcPr>
            <w:tcW w:w="13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Hamilton, HM12</w:t>
            </w:r>
          </w:p>
        </w:tc>
        <w:tc>
          <w:tcPr>
            <w:tcW w:w="13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Bermuda</w:t>
            </w:r>
          </w:p>
        </w:tc>
        <w:tc>
          <w:tcPr>
            <w:tcW w:w="1360" w:type="dxa"/>
            <w:vAlign w:val="bottom"/>
          </w:tcPr>
          <w:p>
            <w:pPr>
              <w:spacing w:after="0"/>
              <w:rPr>
                <w:sz w:val="17"/>
                <w:szCs w:val="17"/>
                <w:color w:val="auto"/>
              </w:rPr>
            </w:pPr>
          </w:p>
        </w:tc>
      </w:tr>
      <w:tr>
        <w:trPr>
          <w:trHeight w:val="608"/>
        </w:trPr>
        <w:tc>
          <w:tcPr>
            <w:tcW w:w="2960" w:type="dxa"/>
            <w:vAlign w:val="bottom"/>
          </w:tcPr>
          <w:p>
            <w:pPr>
              <w:spacing w:after="0"/>
              <w:rPr>
                <w:sz w:val="20"/>
                <w:szCs w:val="20"/>
                <w:color w:val="auto"/>
              </w:rPr>
            </w:pPr>
            <w:r>
              <w:rPr>
                <w:rFonts w:ascii="Courier New" w:cs="Courier New" w:eastAsia="Courier New" w:hAnsi="Courier New"/>
                <w:sz w:val="18"/>
                <w:szCs w:val="18"/>
                <w:color w:val="auto"/>
              </w:rPr>
              <w:t>Lynch Corporation</w:t>
            </w:r>
          </w:p>
        </w:tc>
        <w:tc>
          <w:tcPr>
            <w:tcW w:w="2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8 Sound Shore Drive</w:t>
            </w:r>
          </w:p>
        </w:tc>
        <w:tc>
          <w:tcPr>
            <w:tcW w:w="2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Greenwich, CT  06830</w:t>
            </w:r>
          </w:p>
        </w:tc>
        <w:tc>
          <w:tcPr>
            <w:tcW w:w="2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2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5"/>
        </w:trPr>
        <w:tc>
          <w:tcPr>
            <w:tcW w:w="2960" w:type="dxa"/>
            <w:vAlign w:val="bottom"/>
          </w:tcPr>
          <w:p>
            <w:pPr>
              <w:ind w:left="540"/>
              <w:spacing w:after="0"/>
              <w:rPr>
                <w:sz w:val="20"/>
                <w:szCs w:val="20"/>
                <w:color w:val="auto"/>
              </w:rPr>
            </w:pPr>
            <w:r>
              <w:rPr>
                <w:rFonts w:ascii="Courier New" w:cs="Courier New" w:eastAsia="Courier New" w:hAnsi="Courier New"/>
                <w:sz w:val="18"/>
                <w:szCs w:val="18"/>
                <w:color w:val="auto"/>
              </w:rPr>
              <w:t>Paul J. Evanson</w:t>
            </w:r>
          </w:p>
        </w:tc>
        <w:tc>
          <w:tcPr>
            <w:tcW w:w="2420" w:type="dxa"/>
            <w:vAlign w:val="bottom"/>
          </w:tcPr>
          <w:p>
            <w:pPr>
              <w:ind w:left="740"/>
              <w:spacing w:after="0"/>
              <w:rPr>
                <w:sz w:val="20"/>
                <w:szCs w:val="20"/>
                <w:color w:val="auto"/>
              </w:rPr>
            </w:pPr>
            <w:r>
              <w:rPr>
                <w:rFonts w:ascii="Courier New" w:cs="Courier New" w:eastAsia="Courier New" w:hAnsi="Courier New"/>
                <w:sz w:val="18"/>
                <w:szCs w:val="18"/>
                <w:color w:val="auto"/>
              </w:rPr>
              <w:t>President</w:t>
            </w:r>
          </w:p>
        </w:tc>
        <w:tc>
          <w:tcPr>
            <w:tcW w:w="1360" w:type="dxa"/>
            <w:vAlign w:val="bottom"/>
          </w:tcPr>
          <w:p>
            <w:pPr>
              <w:spacing w:after="0"/>
              <w:rPr>
                <w:sz w:val="24"/>
                <w:szCs w:val="24"/>
                <w:color w:val="auto"/>
              </w:rPr>
            </w:pPr>
          </w:p>
        </w:tc>
      </w:tr>
      <w:tr>
        <w:trPr>
          <w:trHeight w:val="203"/>
        </w:trPr>
        <w:tc>
          <w:tcPr>
            <w:tcW w:w="296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Florida Light &amp; Power Co.</w:t>
            </w:r>
          </w:p>
        </w:tc>
      </w:tr>
      <w:tr>
        <w:trPr>
          <w:trHeight w:val="203"/>
        </w:trPr>
        <w:tc>
          <w:tcPr>
            <w:tcW w:w="296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P.O Box 14000</w:t>
            </w:r>
          </w:p>
        </w:tc>
        <w:tc>
          <w:tcPr>
            <w:tcW w:w="13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700 Universe Blvd.</w:t>
            </w:r>
          </w:p>
        </w:tc>
      </w:tr>
      <w:tr>
        <w:trPr>
          <w:trHeight w:val="203"/>
        </w:trPr>
        <w:tc>
          <w:tcPr>
            <w:tcW w:w="296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Juno Beach, Fl 33408</w:t>
            </w:r>
          </w:p>
        </w:tc>
      </w:tr>
      <w:tr>
        <w:trPr>
          <w:trHeight w:val="405"/>
        </w:trPr>
        <w:tc>
          <w:tcPr>
            <w:tcW w:w="296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3780" w:type="dxa"/>
            <w:vAlign w:val="bottom"/>
            <w:gridSpan w:val="2"/>
          </w:tcPr>
          <w:p>
            <w:pPr>
              <w:ind w:left="740"/>
              <w:spacing w:after="0"/>
              <w:rPr>
                <w:sz w:val="20"/>
                <w:szCs w:val="20"/>
                <w:color w:val="auto"/>
              </w:rPr>
            </w:pPr>
            <w:r>
              <w:rPr>
                <w:rFonts w:ascii="Courier New" w:cs="Courier New" w:eastAsia="Courier New" w:hAnsi="Courier New"/>
                <w:sz w:val="18"/>
                <w:szCs w:val="18"/>
                <w:color w:val="auto"/>
                <w:w w:val="96"/>
              </w:rPr>
              <w:t>See above-Gabelli Funds, Inc.</w:t>
            </w:r>
          </w:p>
        </w:tc>
      </w:tr>
      <w:tr>
        <w:trPr>
          <w:trHeight w:val="608"/>
        </w:trPr>
        <w:tc>
          <w:tcPr>
            <w:tcW w:w="2960" w:type="dxa"/>
            <w:vAlign w:val="bottom"/>
          </w:tcPr>
          <w:p>
            <w:pPr>
              <w:ind w:left="540"/>
              <w:spacing w:after="0"/>
              <w:rPr>
                <w:sz w:val="20"/>
                <w:szCs w:val="20"/>
                <w:color w:val="auto"/>
              </w:rPr>
            </w:pPr>
            <w:r>
              <w:rPr>
                <w:rFonts w:ascii="Courier New" w:cs="Courier New" w:eastAsia="Courier New" w:hAnsi="Courier New"/>
                <w:sz w:val="18"/>
                <w:szCs w:val="18"/>
                <w:color w:val="auto"/>
              </w:rPr>
              <w:t>E. Val Cerutti</w:t>
            </w:r>
          </w:p>
        </w:tc>
        <w:tc>
          <w:tcPr>
            <w:tcW w:w="378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Business Consultant</w:t>
            </w:r>
          </w:p>
        </w:tc>
      </w:tr>
      <w:tr>
        <w:trPr>
          <w:trHeight w:val="203"/>
        </w:trPr>
        <w:tc>
          <w:tcPr>
            <w:tcW w:w="296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Cerutti Consultants</w:t>
            </w:r>
          </w:p>
        </w:tc>
      </w:tr>
      <w:tr>
        <w:trPr>
          <w:trHeight w:val="203"/>
        </w:trPr>
        <w:tc>
          <w:tcPr>
            <w:tcW w:w="296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227 McLain Street</w:t>
            </w:r>
          </w:p>
        </w:tc>
      </w:tr>
      <w:tr>
        <w:trPr>
          <w:trHeight w:val="203"/>
        </w:trPr>
        <w:tc>
          <w:tcPr>
            <w:tcW w:w="296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Mount Kisco, NY</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10540</w:t>
            </w:r>
          </w:p>
        </w:tc>
      </w:tr>
      <w:tr>
        <w:trPr>
          <w:trHeight w:val="405"/>
        </w:trPr>
        <w:tc>
          <w:tcPr>
            <w:tcW w:w="2960" w:type="dxa"/>
            <w:vAlign w:val="bottom"/>
          </w:tcPr>
          <w:p>
            <w:pPr>
              <w:ind w:left="540"/>
              <w:spacing w:after="0"/>
              <w:rPr>
                <w:sz w:val="20"/>
                <w:szCs w:val="20"/>
                <w:color w:val="auto"/>
              </w:rPr>
            </w:pPr>
            <w:r>
              <w:rPr>
                <w:rFonts w:ascii="Courier New" w:cs="Courier New" w:eastAsia="Courier New" w:hAnsi="Courier New"/>
                <w:sz w:val="18"/>
                <w:szCs w:val="18"/>
                <w:color w:val="auto"/>
              </w:rPr>
              <w:t>Ralph R. Papitto</w:t>
            </w:r>
          </w:p>
        </w:tc>
        <w:tc>
          <w:tcPr>
            <w:tcW w:w="378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Chairman of the Board</w:t>
            </w:r>
          </w:p>
        </w:tc>
      </w:tr>
      <w:tr>
        <w:trPr>
          <w:trHeight w:val="203"/>
        </w:trPr>
        <w:tc>
          <w:tcPr>
            <w:tcW w:w="296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AFC Cable Systems, Inc.</w:t>
            </w:r>
          </w:p>
        </w:tc>
      </w:tr>
      <w:tr>
        <w:trPr>
          <w:trHeight w:val="203"/>
        </w:trPr>
        <w:tc>
          <w:tcPr>
            <w:tcW w:w="296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6"/>
              </w:rPr>
              <w:t>50 Kennedy Plaza</w:t>
            </w:r>
          </w:p>
        </w:tc>
        <w:tc>
          <w:tcPr>
            <w:tcW w:w="13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Suite 1250</w:t>
            </w:r>
          </w:p>
        </w:tc>
        <w:tc>
          <w:tcPr>
            <w:tcW w:w="13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Providence, RI</w:t>
            </w:r>
          </w:p>
        </w:tc>
        <w:tc>
          <w:tcPr>
            <w:tcW w:w="1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2"/>
              </w:rPr>
              <w:t>02903</w:t>
            </w:r>
          </w:p>
        </w:tc>
      </w:tr>
      <w:tr>
        <w:trPr>
          <w:trHeight w:val="405"/>
        </w:trPr>
        <w:tc>
          <w:tcPr>
            <w:tcW w:w="2960" w:type="dxa"/>
            <w:vAlign w:val="bottom"/>
          </w:tcPr>
          <w:p>
            <w:pPr>
              <w:ind w:left="540"/>
              <w:spacing w:after="0"/>
              <w:rPr>
                <w:sz w:val="20"/>
                <w:szCs w:val="20"/>
                <w:color w:val="auto"/>
              </w:rPr>
            </w:pPr>
            <w:r>
              <w:rPr>
                <w:rFonts w:ascii="Courier New" w:cs="Courier New" w:eastAsia="Courier New" w:hAnsi="Courier New"/>
                <w:sz w:val="18"/>
                <w:szCs w:val="18"/>
                <w:color w:val="auto"/>
              </w:rPr>
              <w:t>Salvatore Muoio</w:t>
            </w:r>
          </w:p>
        </w:tc>
        <w:tc>
          <w:tcPr>
            <w:tcW w:w="2420" w:type="dxa"/>
            <w:vAlign w:val="bottom"/>
          </w:tcPr>
          <w:p>
            <w:pPr>
              <w:ind w:left="740"/>
              <w:spacing w:after="0"/>
              <w:rPr>
                <w:sz w:val="20"/>
                <w:szCs w:val="20"/>
                <w:color w:val="auto"/>
              </w:rPr>
            </w:pPr>
            <w:r>
              <w:rPr>
                <w:rFonts w:ascii="Courier New" w:cs="Courier New" w:eastAsia="Courier New" w:hAnsi="Courier New"/>
                <w:sz w:val="18"/>
                <w:szCs w:val="18"/>
                <w:color w:val="auto"/>
              </w:rPr>
              <w:t>Principal</w:t>
            </w:r>
          </w:p>
        </w:tc>
        <w:tc>
          <w:tcPr>
            <w:tcW w:w="1360" w:type="dxa"/>
            <w:vAlign w:val="bottom"/>
          </w:tcPr>
          <w:p>
            <w:pPr>
              <w:spacing w:after="0"/>
              <w:rPr>
                <w:sz w:val="24"/>
                <w:szCs w:val="24"/>
                <w:color w:val="auto"/>
              </w:rPr>
            </w:pPr>
          </w:p>
        </w:tc>
      </w:tr>
      <w:tr>
        <w:trPr>
          <w:trHeight w:val="203"/>
        </w:trPr>
        <w:tc>
          <w:tcPr>
            <w:tcW w:w="296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S. Muoio &amp; Co., LLC</w:t>
            </w:r>
          </w:p>
        </w:tc>
      </w:tr>
      <w:tr>
        <w:trPr>
          <w:trHeight w:val="203"/>
        </w:trPr>
        <w:tc>
          <w:tcPr>
            <w:tcW w:w="296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6"/>
              </w:rPr>
              <w:t>655 Third Avenue</w:t>
            </w:r>
          </w:p>
        </w:tc>
        <w:tc>
          <w:tcPr>
            <w:tcW w:w="13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New York, NY 10017</w:t>
            </w:r>
          </w:p>
        </w:tc>
      </w:tr>
      <w:tr>
        <w:trPr>
          <w:trHeight w:val="405"/>
        </w:trPr>
        <w:tc>
          <w:tcPr>
            <w:tcW w:w="2960" w:type="dxa"/>
            <w:vAlign w:val="bottom"/>
          </w:tcPr>
          <w:p>
            <w:pPr>
              <w:ind w:left="540"/>
              <w:spacing w:after="0"/>
              <w:rPr>
                <w:sz w:val="20"/>
                <w:szCs w:val="20"/>
                <w:color w:val="auto"/>
              </w:rPr>
            </w:pPr>
            <w:r>
              <w:rPr>
                <w:rFonts w:ascii="Courier New" w:cs="Courier New" w:eastAsia="Courier New" w:hAnsi="Courier New"/>
                <w:sz w:val="18"/>
                <w:szCs w:val="18"/>
                <w:color w:val="auto"/>
              </w:rPr>
              <w:t>John C. Ferrara</w:t>
            </w:r>
          </w:p>
        </w:tc>
        <w:tc>
          <w:tcPr>
            <w:tcW w:w="378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Business Consultant</w:t>
            </w:r>
          </w:p>
        </w:tc>
      </w:tr>
      <w:tr>
        <w:trPr>
          <w:trHeight w:val="203"/>
        </w:trPr>
        <w:tc>
          <w:tcPr>
            <w:tcW w:w="296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6"/>
              </w:rPr>
              <w:t>110 Edward Place</w:t>
            </w:r>
          </w:p>
        </w:tc>
        <w:tc>
          <w:tcPr>
            <w:tcW w:w="13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Stamford, CT  06905</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ectPr>
          <w:pgSz w:w="11900" w:h="16838" w:orient="portrait"/>
          <w:cols w:equalWidth="0" w:num="1">
            <w:col w:w="10219"/>
          </w:cols>
          <w:pgMar w:left="240" w:top="136" w:right="1440" w:bottom="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4"/>
        </w:trPr>
        <w:tc>
          <w:tcPr>
            <w:tcW w:w="32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426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6"/>
              </w:rPr>
              <w:t>Chairman and Chief Executive Officer</w:t>
            </w:r>
          </w:p>
        </w:tc>
      </w:tr>
      <w:tr>
        <w:trPr>
          <w:trHeight w:val="405"/>
        </w:trPr>
        <w:tc>
          <w:tcPr>
            <w:tcW w:w="32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Robert E. Dolan</w:t>
            </w:r>
          </w:p>
        </w:tc>
        <w:tc>
          <w:tcPr>
            <w:tcW w:w="42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Chief Financial Officer</w:t>
            </w:r>
          </w:p>
        </w:tc>
      </w:tr>
      <w:tr>
        <w:trPr>
          <w:trHeight w:val="405"/>
        </w:trPr>
        <w:tc>
          <w:tcPr>
            <w:tcW w:w="32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Carmine Ceraolo</w:t>
            </w:r>
          </w:p>
        </w:tc>
        <w:tc>
          <w:tcPr>
            <w:tcW w:w="42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Assistant Controller</w:t>
            </w:r>
          </w:p>
        </w:tc>
      </w:tr>
      <w:tr>
        <w:trPr>
          <w:trHeight w:val="405"/>
        </w:trPr>
        <w:tc>
          <w:tcPr>
            <w:tcW w:w="32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Robert A. Hurwich</w:t>
            </w:r>
          </w:p>
        </w:tc>
        <w:tc>
          <w:tcPr>
            <w:tcW w:w="42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Vice President-Administration,</w:t>
            </w:r>
          </w:p>
        </w:tc>
      </w:tr>
      <w:tr>
        <w:trPr>
          <w:trHeight w:val="203"/>
        </w:trPr>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2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Secretary and General Counsel</w:t>
            </w:r>
          </w:p>
        </w:tc>
      </w:tr>
      <w:tr>
        <w:trPr>
          <w:trHeight w:val="405"/>
        </w:trPr>
        <w:tc>
          <w:tcPr>
            <w:tcW w:w="3220" w:type="dxa"/>
            <w:vAlign w:val="bottom"/>
            <w:gridSpan w:val="2"/>
          </w:tcPr>
          <w:p>
            <w:pPr>
              <w:spacing w:after="0"/>
              <w:rPr>
                <w:sz w:val="20"/>
                <w:szCs w:val="20"/>
                <w:color w:val="auto"/>
              </w:rPr>
            </w:pPr>
            <w:r>
              <w:rPr>
                <w:rFonts w:ascii="Courier New" w:cs="Courier New" w:eastAsia="Courier New" w:hAnsi="Courier New"/>
                <w:sz w:val="18"/>
                <w:szCs w:val="18"/>
                <w:color w:val="auto"/>
              </w:rPr>
              <w:t>Spinnaker Industries, Inc.</w:t>
            </w:r>
          </w:p>
        </w:tc>
        <w:tc>
          <w:tcPr>
            <w:tcW w:w="19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600 N. Pearl Street</w:t>
            </w:r>
          </w:p>
        </w:tc>
        <w:tc>
          <w:tcPr>
            <w:tcW w:w="19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Suite 2160</w:t>
            </w:r>
          </w:p>
        </w:tc>
        <w:tc>
          <w:tcPr>
            <w:tcW w:w="20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Dallas, TX</w:t>
            </w:r>
          </w:p>
        </w:tc>
        <w:tc>
          <w:tcPr>
            <w:tcW w:w="20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75201</w:t>
            </w:r>
          </w:p>
        </w:tc>
        <w:tc>
          <w:tcPr>
            <w:tcW w:w="19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20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32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Joseph P. Rhein</w:t>
            </w:r>
          </w:p>
        </w:tc>
        <w:tc>
          <w:tcPr>
            <w:tcW w:w="42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5003 Central Avenue</w:t>
            </w:r>
          </w:p>
        </w:tc>
      </w:tr>
      <w:tr>
        <w:trPr>
          <w:trHeight w:val="203"/>
        </w:trPr>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5"/>
              </w:rPr>
              <w:t>Ocean City, NJ</w:t>
            </w:r>
          </w:p>
        </w:tc>
        <w:tc>
          <w:tcPr>
            <w:tcW w:w="23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08226</w:t>
            </w:r>
          </w:p>
        </w:tc>
      </w:tr>
      <w:tr>
        <w:trPr>
          <w:trHeight w:val="405"/>
        </w:trPr>
        <w:tc>
          <w:tcPr>
            <w:tcW w:w="32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Richard J. Boyle</w:t>
            </w:r>
          </w:p>
        </w:tc>
        <w:tc>
          <w:tcPr>
            <w:tcW w:w="42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The Boyle Group, Inc.</w:t>
            </w:r>
          </w:p>
        </w:tc>
      </w:tr>
      <w:tr>
        <w:trPr>
          <w:trHeight w:val="203"/>
        </w:trPr>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2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6110 Blue Circle Drive</w:t>
            </w:r>
          </w:p>
        </w:tc>
      </w:tr>
      <w:tr>
        <w:trPr>
          <w:trHeight w:val="203"/>
        </w:trPr>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Suite 250</w:t>
            </w:r>
          </w:p>
        </w:tc>
        <w:tc>
          <w:tcPr>
            <w:tcW w:w="23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5"/>
              </w:rPr>
              <w:t>Minnetonka, MN</w:t>
            </w:r>
          </w:p>
        </w:tc>
        <w:tc>
          <w:tcPr>
            <w:tcW w:w="23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55343</w:t>
            </w:r>
          </w:p>
        </w:tc>
      </w:tr>
      <w:tr>
        <w:trPr>
          <w:trHeight w:val="405"/>
        </w:trPr>
        <w:tc>
          <w:tcPr>
            <w:tcW w:w="32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Ned N. Fleming, III</w:t>
            </w:r>
          </w:p>
        </w:tc>
        <w:tc>
          <w:tcPr>
            <w:tcW w:w="42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Boyle, Fleming,</w:t>
            </w:r>
          </w:p>
        </w:tc>
      </w:tr>
      <w:tr>
        <w:trPr>
          <w:trHeight w:val="203"/>
        </w:trPr>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&amp; Co., Inc.</w:t>
            </w:r>
          </w:p>
        </w:tc>
        <w:tc>
          <w:tcPr>
            <w:tcW w:w="23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2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600 N. Pearl Street</w:t>
            </w:r>
          </w:p>
        </w:tc>
      </w:tr>
      <w:tr>
        <w:trPr>
          <w:trHeight w:val="203"/>
        </w:trPr>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Suite 2160</w:t>
            </w:r>
          </w:p>
        </w:tc>
        <w:tc>
          <w:tcPr>
            <w:tcW w:w="23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2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Dallas, TX  75201</w:t>
            </w:r>
          </w:p>
        </w:tc>
      </w:tr>
      <w:tr>
        <w:trPr>
          <w:trHeight w:val="608"/>
        </w:trPr>
        <w:tc>
          <w:tcPr>
            <w:tcW w:w="32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Robert E. Dolan</w:t>
            </w:r>
          </w:p>
        </w:tc>
        <w:tc>
          <w:tcPr>
            <w:tcW w:w="42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See above Lynch Corporation</w:t>
            </w:r>
          </w:p>
        </w:tc>
      </w:tr>
      <w:tr>
        <w:trPr>
          <w:trHeight w:val="405"/>
        </w:trPr>
        <w:tc>
          <w:tcPr>
            <w:tcW w:w="32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Anthonie C. van Ekris</w:t>
            </w:r>
          </w:p>
        </w:tc>
        <w:tc>
          <w:tcPr>
            <w:tcW w:w="42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Chairman and Chief</w:t>
            </w:r>
          </w:p>
        </w:tc>
      </w:tr>
      <w:tr>
        <w:trPr>
          <w:trHeight w:val="203"/>
        </w:trPr>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2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Executive Officer</w:t>
            </w:r>
          </w:p>
        </w:tc>
      </w:tr>
      <w:tr>
        <w:trPr>
          <w:trHeight w:val="203"/>
        </w:trPr>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2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Balmac International, Inc.</w:t>
            </w:r>
          </w:p>
        </w:tc>
      </w:tr>
      <w:tr>
        <w:trPr>
          <w:trHeight w:val="203"/>
        </w:trPr>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61 Broadway</w:t>
            </w:r>
          </w:p>
        </w:tc>
        <w:tc>
          <w:tcPr>
            <w:tcW w:w="23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Suite 1900</w:t>
            </w:r>
          </w:p>
        </w:tc>
        <w:tc>
          <w:tcPr>
            <w:tcW w:w="23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New York, NY</w:t>
            </w:r>
          </w:p>
        </w:tc>
        <w:tc>
          <w:tcPr>
            <w:tcW w:w="232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w w:val="96"/>
              </w:rPr>
              <w:t>10006</w:t>
            </w:r>
          </w:p>
        </w:tc>
      </w:tr>
      <w:tr>
        <w:trPr>
          <w:trHeight w:val="405"/>
        </w:trPr>
        <w:tc>
          <w:tcPr>
            <w:tcW w:w="32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Frank E. Grzelecki</w:t>
            </w:r>
          </w:p>
        </w:tc>
        <w:tc>
          <w:tcPr>
            <w:tcW w:w="1940" w:type="dxa"/>
            <w:vAlign w:val="bottom"/>
          </w:tcPr>
          <w:p>
            <w:pPr>
              <w:ind w:left="480"/>
              <w:spacing w:after="0"/>
              <w:rPr>
                <w:sz w:val="20"/>
                <w:szCs w:val="20"/>
                <w:color w:val="auto"/>
              </w:rPr>
            </w:pPr>
            <w:r>
              <w:rPr>
                <w:rFonts w:ascii="Courier New" w:cs="Courier New" w:eastAsia="Courier New" w:hAnsi="Courier New"/>
                <w:sz w:val="18"/>
                <w:szCs w:val="18"/>
                <w:color w:val="auto"/>
              </w:rPr>
              <w:t>President</w:t>
            </w:r>
          </w:p>
        </w:tc>
        <w:tc>
          <w:tcPr>
            <w:tcW w:w="232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5"/>
              </w:rPr>
              <w:t>Handy &amp; Harman</w:t>
            </w:r>
          </w:p>
        </w:tc>
        <w:tc>
          <w:tcPr>
            <w:tcW w:w="23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2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One Corporate Center</w:t>
            </w:r>
          </w:p>
        </w:tc>
      </w:tr>
      <w:tr>
        <w:trPr>
          <w:trHeight w:val="203"/>
        </w:trPr>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2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Rye, New York 10580</w:t>
            </w:r>
          </w:p>
        </w:tc>
      </w:tr>
      <w:tr>
        <w:trPr>
          <w:trHeight w:val="810"/>
        </w:trPr>
        <w:tc>
          <w:tcPr>
            <w:tcW w:w="32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Philip W. Colburn</w:t>
            </w:r>
          </w:p>
        </w:tc>
        <w:tc>
          <w:tcPr>
            <w:tcW w:w="42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Chairman of the Board</w:t>
            </w:r>
          </w:p>
        </w:tc>
      </w:tr>
      <w:tr>
        <w:trPr>
          <w:trHeight w:val="203"/>
        </w:trPr>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2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Allen Telecom, Inc.</w:t>
            </w:r>
          </w:p>
        </w:tc>
      </w:tr>
      <w:tr>
        <w:trPr>
          <w:trHeight w:val="203"/>
        </w:trPr>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2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11611 San Vincente Blvd.</w:t>
            </w:r>
          </w:p>
        </w:tc>
      </w:tr>
      <w:tr>
        <w:trPr>
          <w:trHeight w:val="203"/>
        </w:trPr>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Suite 505</w:t>
            </w:r>
          </w:p>
        </w:tc>
        <w:tc>
          <w:tcPr>
            <w:tcW w:w="23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2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Los Angeles, CA 90049</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Officers:</w:t>
            </w:r>
          </w:p>
        </w:tc>
        <w:tc>
          <w:tcPr>
            <w:tcW w:w="20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32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Ned N. Fleming, III</w:t>
            </w:r>
          </w:p>
        </w:tc>
        <w:tc>
          <w:tcPr>
            <w:tcW w:w="1940" w:type="dxa"/>
            <w:vAlign w:val="bottom"/>
          </w:tcPr>
          <w:p>
            <w:pPr>
              <w:ind w:left="480"/>
              <w:spacing w:after="0"/>
              <w:rPr>
                <w:sz w:val="20"/>
                <w:szCs w:val="20"/>
                <w:color w:val="auto"/>
              </w:rPr>
            </w:pPr>
            <w:r>
              <w:rPr>
                <w:rFonts w:ascii="Courier New" w:cs="Courier New" w:eastAsia="Courier New" w:hAnsi="Courier New"/>
                <w:sz w:val="18"/>
                <w:szCs w:val="18"/>
                <w:color w:val="auto"/>
              </w:rPr>
              <w:t>President</w:t>
            </w:r>
          </w:p>
        </w:tc>
        <w:tc>
          <w:tcPr>
            <w:tcW w:w="2320" w:type="dxa"/>
            <w:vAlign w:val="bottom"/>
          </w:tcPr>
          <w:p>
            <w:pPr>
              <w:spacing w:after="0"/>
              <w:rPr>
                <w:sz w:val="24"/>
                <w:szCs w:val="24"/>
                <w:color w:val="auto"/>
              </w:rPr>
            </w:pPr>
          </w:p>
        </w:tc>
      </w:tr>
      <w:tr>
        <w:trPr>
          <w:trHeight w:val="405"/>
        </w:trPr>
        <w:tc>
          <w:tcPr>
            <w:tcW w:w="32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Richard J. Boyle</w:t>
            </w:r>
          </w:p>
        </w:tc>
        <w:tc>
          <w:tcPr>
            <w:tcW w:w="426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6"/>
              </w:rPr>
              <w:t>Chairman and Chief Executive Officer</w:t>
            </w:r>
          </w:p>
        </w:tc>
      </w:tr>
      <w:tr>
        <w:trPr>
          <w:trHeight w:val="405"/>
        </w:trPr>
        <w:tc>
          <w:tcPr>
            <w:tcW w:w="32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Robert A. Hurwich</w:t>
            </w:r>
          </w:p>
        </w:tc>
        <w:tc>
          <w:tcPr>
            <w:tcW w:w="1940" w:type="dxa"/>
            <w:vAlign w:val="bottom"/>
          </w:tcPr>
          <w:p>
            <w:pPr>
              <w:ind w:left="480"/>
              <w:spacing w:after="0"/>
              <w:rPr>
                <w:sz w:val="20"/>
                <w:szCs w:val="20"/>
                <w:color w:val="auto"/>
              </w:rPr>
            </w:pPr>
            <w:r>
              <w:rPr>
                <w:rFonts w:ascii="Courier New" w:cs="Courier New" w:eastAsia="Courier New" w:hAnsi="Courier New"/>
                <w:sz w:val="18"/>
                <w:szCs w:val="18"/>
                <w:color w:val="auto"/>
              </w:rPr>
              <w:t>Secretary</w:t>
            </w:r>
          </w:p>
        </w:tc>
        <w:tc>
          <w:tcPr>
            <w:tcW w:w="2320" w:type="dxa"/>
            <w:vAlign w:val="bottom"/>
          </w:tcPr>
          <w:p>
            <w:pPr>
              <w:spacing w:after="0"/>
              <w:rPr>
                <w:sz w:val="24"/>
                <w:szCs w:val="24"/>
                <w:color w:val="auto"/>
              </w:rPr>
            </w:pPr>
          </w:p>
        </w:tc>
      </w:tr>
      <w:tr>
        <w:trPr>
          <w:trHeight w:val="405"/>
        </w:trPr>
        <w:tc>
          <w:tcPr>
            <w:tcW w:w="32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Mark A. Matteson</w:t>
            </w:r>
          </w:p>
        </w:tc>
        <w:tc>
          <w:tcPr>
            <w:tcW w:w="42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Vice President, Corporate</w:t>
            </w:r>
          </w:p>
        </w:tc>
      </w:tr>
      <w:tr>
        <w:trPr>
          <w:trHeight w:val="203"/>
        </w:trPr>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Development</w:t>
            </w:r>
          </w:p>
        </w:tc>
        <w:tc>
          <w:tcPr>
            <w:tcW w:w="2320" w:type="dxa"/>
            <w:vAlign w:val="bottom"/>
          </w:tcPr>
          <w:p>
            <w:pPr>
              <w:spacing w:after="0"/>
              <w:rPr>
                <w:sz w:val="17"/>
                <w:szCs w:val="17"/>
                <w:color w:val="auto"/>
              </w:rPr>
            </w:pPr>
          </w:p>
        </w:tc>
      </w:tr>
      <w:tr>
        <w:trPr>
          <w:trHeight w:val="405"/>
        </w:trPr>
        <w:tc>
          <w:tcPr>
            <w:tcW w:w="32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Craig Jennings</w:t>
            </w:r>
          </w:p>
        </w:tc>
        <w:tc>
          <w:tcPr>
            <w:tcW w:w="1940" w:type="dxa"/>
            <w:vAlign w:val="bottom"/>
          </w:tcPr>
          <w:p>
            <w:pPr>
              <w:ind w:left="480"/>
              <w:spacing w:after="0"/>
              <w:rPr>
                <w:sz w:val="20"/>
                <w:szCs w:val="20"/>
                <w:color w:val="auto"/>
              </w:rPr>
            </w:pPr>
            <w:r>
              <w:rPr>
                <w:rFonts w:ascii="Courier New" w:cs="Courier New" w:eastAsia="Courier New" w:hAnsi="Courier New"/>
                <w:sz w:val="18"/>
                <w:szCs w:val="18"/>
                <w:color w:val="auto"/>
              </w:rPr>
              <w:t>Controller</w:t>
            </w:r>
          </w:p>
        </w:tc>
        <w:tc>
          <w:tcPr>
            <w:tcW w:w="2320" w:type="dxa"/>
            <w:vAlign w:val="bottom"/>
          </w:tcPr>
          <w:p>
            <w:pPr>
              <w:spacing w:after="0"/>
              <w:rPr>
                <w:sz w:val="24"/>
                <w:szCs w:val="24"/>
                <w:color w:val="auto"/>
              </w:rPr>
            </w:pPr>
          </w:p>
        </w:tc>
      </w:tr>
      <w:tr>
        <w:trPr>
          <w:trHeight w:val="608"/>
        </w:trPr>
        <w:tc>
          <w:tcPr>
            <w:tcW w:w="3220" w:type="dxa"/>
            <w:vAlign w:val="bottom"/>
            <w:gridSpan w:val="2"/>
          </w:tcPr>
          <w:p>
            <w:pPr>
              <w:spacing w:after="0"/>
              <w:rPr>
                <w:sz w:val="20"/>
                <w:szCs w:val="20"/>
                <w:color w:val="auto"/>
              </w:rPr>
            </w:pPr>
            <w:r>
              <w:rPr>
                <w:rFonts w:ascii="Courier New" w:cs="Courier New" w:eastAsia="Courier New" w:hAnsi="Courier New"/>
                <w:sz w:val="18"/>
                <w:szCs w:val="18"/>
                <w:color w:val="auto"/>
              </w:rPr>
              <w:t>Entoleter, Inc.</w:t>
            </w:r>
          </w:p>
        </w:tc>
        <w:tc>
          <w:tcPr>
            <w:tcW w:w="19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251 Welton Street</w:t>
            </w:r>
          </w:p>
        </w:tc>
        <w:tc>
          <w:tcPr>
            <w:tcW w:w="19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Hamden, CT</w:t>
            </w:r>
          </w:p>
        </w:tc>
        <w:tc>
          <w:tcPr>
            <w:tcW w:w="20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06517</w:t>
            </w:r>
          </w:p>
        </w:tc>
        <w:tc>
          <w:tcPr>
            <w:tcW w:w="19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20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32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Ned N. Fleming, III</w:t>
            </w:r>
          </w:p>
        </w:tc>
        <w:tc>
          <w:tcPr>
            <w:tcW w:w="42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See above-Spinnaker</w:t>
            </w:r>
          </w:p>
        </w:tc>
      </w:tr>
      <w:tr>
        <w:trPr>
          <w:trHeight w:val="405"/>
        </w:trPr>
        <w:tc>
          <w:tcPr>
            <w:tcW w:w="32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Mark A. Matteson</w:t>
            </w:r>
          </w:p>
        </w:tc>
        <w:tc>
          <w:tcPr>
            <w:tcW w:w="42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See above-Spinnaker</w:t>
            </w:r>
          </w:p>
        </w:tc>
      </w:tr>
      <w:tr>
        <w:trPr>
          <w:trHeight w:val="405"/>
        </w:trPr>
        <w:tc>
          <w:tcPr>
            <w:tcW w:w="32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Robert Hladick</w:t>
            </w:r>
          </w:p>
        </w:tc>
        <w:tc>
          <w:tcPr>
            <w:tcW w:w="42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See above Entoleter</w:t>
            </w:r>
          </w:p>
        </w:tc>
      </w:tr>
      <w:tr>
        <w:trPr>
          <w:trHeight w:val="405"/>
        </w:trPr>
        <w:tc>
          <w:tcPr>
            <w:tcW w:w="32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Robert P. Wentzel</w:t>
            </w:r>
          </w:p>
        </w:tc>
        <w:tc>
          <w:tcPr>
            <w:tcW w:w="42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See above Entoleter</w:t>
            </w:r>
          </w:p>
        </w:tc>
      </w:tr>
    </w:tbl>
    <w:p>
      <w:pPr>
        <w:sectPr>
          <w:pgSz w:w="11900" w:h="16838" w:orient="portrait"/>
          <w:cols w:equalWidth="0" w:num="1">
            <w:col w:w="10219"/>
          </w:cols>
          <w:pgMar w:left="240" w:top="339" w:right="1440"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James Fleming</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w w:val="95"/>
              </w:rPr>
              <w:t>230 Saugatuck</w:t>
            </w:r>
          </w:p>
        </w:tc>
        <w:tc>
          <w:tcPr>
            <w:tcW w:w="2320" w:type="dxa"/>
            <w:vAlign w:val="bottom"/>
          </w:tcPr>
          <w:p>
            <w:pPr>
              <w:ind w:left="100"/>
              <w:spacing w:after="0"/>
              <w:rPr>
                <w:sz w:val="20"/>
                <w:szCs w:val="20"/>
                <w:color w:val="auto"/>
              </w:rPr>
            </w:pPr>
            <w:r>
              <w:rPr>
                <w:rFonts w:ascii="Courier New" w:cs="Courier New" w:eastAsia="Courier New" w:hAnsi="Courier New"/>
                <w:sz w:val="18"/>
                <w:szCs w:val="18"/>
                <w:color w:val="auto"/>
              </w:rPr>
              <w:t>Avenue, Unit 8</w:t>
            </w:r>
          </w:p>
        </w:tc>
      </w:tr>
      <w:tr>
        <w:trPr>
          <w:trHeight w:val="203"/>
        </w:trPr>
        <w:tc>
          <w:tcPr>
            <w:tcW w:w="3580" w:type="dxa"/>
            <w:vAlign w:val="bottom"/>
          </w:tcPr>
          <w:p>
            <w:pPr>
              <w:spacing w:after="0"/>
              <w:rPr>
                <w:sz w:val="17"/>
                <w:szCs w:val="17"/>
                <w:color w:val="auto"/>
              </w:rPr>
            </w:pP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Westport, CT</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06880</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4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Robert P. Wentzel</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President</w:t>
            </w:r>
          </w:p>
        </w:tc>
        <w:tc>
          <w:tcPr>
            <w:tcW w:w="2320" w:type="dxa"/>
            <w:vAlign w:val="bottom"/>
          </w:tcPr>
          <w:p>
            <w:pPr>
              <w:spacing w:after="0"/>
              <w:rPr>
                <w:sz w:val="24"/>
                <w:szCs w:val="24"/>
                <w:color w:val="auto"/>
              </w:rPr>
            </w:pP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Mark R. Matteson</w:t>
            </w:r>
          </w:p>
        </w:tc>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Vice President</w:t>
            </w: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Robert Hladick</w:t>
            </w:r>
          </w:p>
        </w:tc>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Controller &amp; Secretary</w:t>
            </w:r>
          </w:p>
        </w:tc>
      </w:tr>
      <w:tr>
        <w:trPr>
          <w:trHeight w:val="608"/>
        </w:trPr>
        <w:tc>
          <w:tcPr>
            <w:tcW w:w="5060" w:type="dxa"/>
            <w:vAlign w:val="bottom"/>
            <w:gridSpan w:val="2"/>
          </w:tcPr>
          <w:p>
            <w:pPr>
              <w:spacing w:after="0"/>
              <w:rPr>
                <w:sz w:val="20"/>
                <w:szCs w:val="20"/>
                <w:color w:val="auto"/>
              </w:rPr>
            </w:pPr>
            <w:r>
              <w:rPr>
                <w:rFonts w:ascii="Courier New" w:cs="Courier New" w:eastAsia="Courier New" w:hAnsi="Courier New"/>
                <w:sz w:val="18"/>
                <w:szCs w:val="18"/>
                <w:color w:val="auto"/>
              </w:rPr>
              <w:t>Western New Mexico Telephone Company</w:t>
            </w:r>
          </w:p>
        </w:tc>
        <w:tc>
          <w:tcPr>
            <w:tcW w:w="2320" w:type="dxa"/>
            <w:vAlign w:val="bottom"/>
          </w:tcPr>
          <w:p>
            <w:pPr>
              <w:spacing w:after="0"/>
              <w:rPr>
                <w:sz w:val="24"/>
                <w:szCs w:val="24"/>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314 Yankee Street</w:t>
            </w:r>
          </w:p>
        </w:tc>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Silver City, NM  88062</w:t>
            </w:r>
          </w:p>
        </w:tc>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4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Jack C. Keen</w:t>
            </w:r>
          </w:p>
        </w:tc>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Chairman and President</w:t>
            </w: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Dr. Brian E. Gordon</w:t>
            </w:r>
          </w:p>
        </w:tc>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Vice President</w:t>
            </w: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Mary Beth Baxter</w:t>
            </w:r>
          </w:p>
        </w:tc>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Secretary &amp; Treasurer</w:t>
            </w:r>
          </w:p>
        </w:tc>
      </w:tr>
      <w:tr>
        <w:trPr>
          <w:trHeight w:val="608"/>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John Clay Keen</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Route 6</w:t>
            </w:r>
          </w:p>
        </w:tc>
        <w:tc>
          <w:tcPr>
            <w:tcW w:w="2320" w:type="dxa"/>
            <w:vAlign w:val="bottom"/>
          </w:tcPr>
          <w:p>
            <w:pPr>
              <w:spacing w:after="0"/>
              <w:rPr>
                <w:sz w:val="24"/>
                <w:szCs w:val="24"/>
                <w:color w:val="auto"/>
              </w:rPr>
            </w:pPr>
          </w:p>
        </w:tc>
      </w:tr>
      <w:tr>
        <w:trPr>
          <w:trHeight w:val="203"/>
        </w:trPr>
        <w:tc>
          <w:tcPr>
            <w:tcW w:w="3580" w:type="dxa"/>
            <w:vAlign w:val="bottom"/>
          </w:tcPr>
          <w:p>
            <w:pPr>
              <w:spacing w:after="0"/>
              <w:rPr>
                <w:sz w:val="17"/>
                <w:szCs w:val="17"/>
                <w:color w:val="auto"/>
              </w:rPr>
            </w:pP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Box 270</w:t>
            </w:r>
          </w:p>
        </w:tc>
        <w:tc>
          <w:tcPr>
            <w:tcW w:w="23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3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Greenville, TX 75401</w:t>
            </w: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Robert E. Dolan</w:t>
            </w:r>
          </w:p>
        </w:tc>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Robert A. Hurwich</w:t>
            </w:r>
          </w:p>
        </w:tc>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Carmine Ceraolo</w:t>
            </w:r>
          </w:p>
        </w:tc>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Mary J. Carroll</w:t>
            </w:r>
          </w:p>
        </w:tc>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Eugene P. Connell</w:t>
            </w:r>
          </w:p>
        </w:tc>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4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Jack C. Keen</w:t>
            </w:r>
          </w:p>
        </w:tc>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Chairman and President</w:t>
            </w: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Jack L. Bentley</w:t>
            </w:r>
          </w:p>
        </w:tc>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Executive Vice President</w:t>
            </w: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Dr. Brian E. Gordon</w:t>
            </w:r>
          </w:p>
        </w:tc>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Vice President</w:t>
            </w: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Charles M. Baxter</w:t>
            </w:r>
          </w:p>
        </w:tc>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Sr. Vice President-Operations</w:t>
            </w: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Mary Beth Baxter</w:t>
            </w:r>
          </w:p>
        </w:tc>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Secretary &amp; Treasurer</w:t>
            </w: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Robert A. Hurwich</w:t>
            </w:r>
          </w:p>
        </w:tc>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Assistant Treasurer</w:t>
            </w:r>
          </w:p>
        </w:tc>
      </w:tr>
      <w:tr>
        <w:trPr>
          <w:trHeight w:val="810"/>
        </w:trPr>
        <w:tc>
          <w:tcPr>
            <w:tcW w:w="3580" w:type="dxa"/>
            <w:vAlign w:val="bottom"/>
          </w:tcPr>
          <w:p>
            <w:pPr>
              <w:spacing w:after="0"/>
              <w:rPr>
                <w:sz w:val="20"/>
                <w:szCs w:val="20"/>
                <w:color w:val="auto"/>
              </w:rPr>
            </w:pPr>
            <w:r>
              <w:rPr>
                <w:rFonts w:ascii="Courier New" w:cs="Courier New" w:eastAsia="Courier New" w:hAnsi="Courier New"/>
                <w:sz w:val="18"/>
                <w:szCs w:val="18"/>
                <w:color w:val="auto"/>
                <w:w w:val="99"/>
              </w:rPr>
              <w:t>Inter-Community Telephone Company</w:t>
            </w:r>
          </w:p>
        </w:tc>
        <w:tc>
          <w:tcPr>
            <w:tcW w:w="14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P.O. Box A</w:t>
            </w:r>
          </w:p>
        </w:tc>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Nome, ND  58062</w:t>
            </w:r>
          </w:p>
        </w:tc>
        <w:tc>
          <w:tcPr>
            <w:tcW w:w="14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4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Mary J. Carroll</w:t>
            </w:r>
          </w:p>
        </w:tc>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Robert E. Dolan</w:t>
            </w:r>
          </w:p>
        </w:tc>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Joseph H. Epel</w:t>
            </w:r>
          </w:p>
        </w:tc>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Robert A. Hurwich</w:t>
            </w:r>
          </w:p>
        </w:tc>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Eugene P. Connell</w:t>
            </w:r>
          </w:p>
        </w:tc>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Harry B. Snyder</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P.O. Box 131</w:t>
            </w:r>
          </w:p>
        </w:tc>
        <w:tc>
          <w:tcPr>
            <w:tcW w:w="2320" w:type="dxa"/>
            <w:vAlign w:val="bottom"/>
          </w:tcPr>
          <w:p>
            <w:pPr>
              <w:spacing w:after="0"/>
              <w:rPr>
                <w:sz w:val="24"/>
                <w:szCs w:val="24"/>
                <w:color w:val="auto"/>
              </w:rPr>
            </w:pPr>
          </w:p>
        </w:tc>
      </w:tr>
      <w:tr>
        <w:trPr>
          <w:trHeight w:val="203"/>
        </w:trPr>
        <w:tc>
          <w:tcPr>
            <w:tcW w:w="3580" w:type="dxa"/>
            <w:vAlign w:val="bottom"/>
          </w:tcPr>
          <w:p>
            <w:pPr>
              <w:spacing w:after="0"/>
              <w:rPr>
                <w:sz w:val="17"/>
                <w:szCs w:val="17"/>
                <w:color w:val="auto"/>
              </w:rPr>
            </w:pP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Buffalo, ND</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58011</w:t>
            </w: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Robert Snyder</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200 Broadway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South</w:t>
            </w:r>
          </w:p>
        </w:tc>
      </w:tr>
      <w:tr>
        <w:trPr>
          <w:trHeight w:val="203"/>
        </w:trPr>
        <w:tc>
          <w:tcPr>
            <w:tcW w:w="3580" w:type="dxa"/>
            <w:vAlign w:val="bottom"/>
          </w:tcPr>
          <w:p>
            <w:pPr>
              <w:spacing w:after="0"/>
              <w:rPr>
                <w:sz w:val="17"/>
                <w:szCs w:val="17"/>
                <w:color w:val="auto"/>
              </w:rPr>
            </w:pP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Buffalo, ND</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58011</w:t>
            </w: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Keith S. Anderson</w:t>
            </w:r>
          </w:p>
        </w:tc>
        <w:tc>
          <w:tcPr>
            <w:tcW w:w="380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6"/>
              </w:rPr>
              <w:t>See above-Inter-Community Telephone</w:t>
            </w:r>
          </w:p>
        </w:tc>
      </w:tr>
      <w:tr>
        <w:trPr>
          <w:trHeight w:val="203"/>
        </w:trPr>
        <w:tc>
          <w:tcPr>
            <w:tcW w:w="3580" w:type="dxa"/>
            <w:vAlign w:val="bottom"/>
          </w:tcPr>
          <w:p>
            <w:pPr>
              <w:spacing w:after="0"/>
              <w:rPr>
                <w:sz w:val="17"/>
                <w:szCs w:val="17"/>
                <w:color w:val="auto"/>
              </w:rPr>
            </w:pP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2320" w:type="dxa"/>
            <w:vAlign w:val="bottom"/>
          </w:tcPr>
          <w:p>
            <w:pPr>
              <w:spacing w:after="0"/>
              <w:rPr>
                <w:sz w:val="17"/>
                <w:szCs w:val="17"/>
                <w:color w:val="auto"/>
              </w:rPr>
            </w:pPr>
          </w:p>
        </w:tc>
      </w:tr>
    </w:tbl>
    <w:p>
      <w:pPr>
        <w:sectPr>
          <w:pgSz w:w="11900" w:h="16838" w:orient="portrait"/>
          <w:cols w:equalWidth="0" w:num="1">
            <w:col w:w="10219"/>
          </w:cols>
          <w:pgMar w:left="240" w:top="339" w:right="1440" w:bottom="0" w:gutter="0" w:footer="0" w:header="0"/>
        </w:sectPr>
      </w:pPr>
    </w:p>
    <w:bookmarkStart w:id="17" w:name="page18"/>
    <w:bookmarkEnd w:id="17"/>
    <w:p>
      <w:pPr>
        <w:ind w:left="540"/>
        <w:spacing w:after="0"/>
        <w:rPr>
          <w:sz w:val="20"/>
          <w:szCs w:val="20"/>
          <w:color w:val="auto"/>
        </w:rPr>
      </w:pPr>
      <w:r>
        <w:rPr>
          <w:rFonts w:ascii="Courier New" w:cs="Courier New" w:eastAsia="Courier New" w:hAnsi="Courier New"/>
          <w:sz w:val="16"/>
          <w:szCs w:val="16"/>
          <w:color w:val="auto"/>
        </w:rPr>
        <w:t>Robert Reff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above-Inter-Community Telephone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ectPr>
          <w:pgSz w:w="11900" w:h="16838" w:orient="portrait"/>
          <w:cols w:equalWidth="0" w:num="2">
            <w:col w:w="2980" w:space="720"/>
            <w:col w:w="6519"/>
          </w:cols>
          <w:pgMar w:left="240" w:top="142" w:right="1440" w:bottom="3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Officers:</w:t>
      </w:r>
    </w:p>
    <w:p>
      <w:pPr>
        <w:sectPr>
          <w:pgSz w:w="11900" w:h="16838" w:orient="portrait"/>
          <w:cols w:equalWidth="0" w:num="1">
            <w:col w:w="10219"/>
          </w:cols>
          <w:pgMar w:left="240" w:top="142" w:right="1440" w:bottom="335" w:gutter="0" w:footer="0" w:header="0"/>
          <w:type w:val="continuous"/>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Leone A. Nilsen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200" w:lineRule="exact"/>
        <w:rPr>
          <w:sz w:val="20"/>
          <w:szCs w:val="20"/>
          <w:color w:val="auto"/>
        </w:rPr>
      </w:pPr>
    </w:p>
    <w:p>
      <w:pPr>
        <w:sectPr>
          <w:pgSz w:w="11900" w:h="16838" w:orient="portrait"/>
          <w:cols w:equalWidth="0" w:num="2">
            <w:col w:w="2980" w:space="720"/>
            <w:col w:w="6519"/>
          </w:cols>
          <w:pgMar w:left="240" w:top="142" w:right="1440" w:bottom="335"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Snyder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200" w:lineRule="exact"/>
        <w:rPr>
          <w:sz w:val="20"/>
          <w:szCs w:val="20"/>
          <w:color w:val="auto"/>
        </w:rPr>
      </w:pPr>
    </w:p>
    <w:p>
      <w:pPr>
        <w:sectPr>
          <w:pgSz w:w="11900" w:h="16838" w:orient="portrait"/>
          <w:cols w:equalWidth="0" w:num="2">
            <w:col w:w="2980" w:space="720"/>
            <w:col w:w="6519"/>
          </w:cols>
          <w:pgMar w:left="240" w:top="142" w:right="1440" w:bottom="335"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Reff</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w:t>
      </w:r>
    </w:p>
    <w:p>
      <w:pPr>
        <w:spacing w:after="0" w:line="200" w:lineRule="exact"/>
        <w:rPr>
          <w:sz w:val="20"/>
          <w:szCs w:val="20"/>
          <w:color w:val="auto"/>
        </w:rPr>
      </w:pPr>
    </w:p>
    <w:p>
      <w:pPr>
        <w:sectPr>
          <w:pgSz w:w="11900" w:h="16838" w:orient="portrait"/>
          <w:cols w:equalWidth="0" w:num="3">
            <w:col w:w="1160" w:space="220"/>
            <w:col w:w="1600" w:space="720"/>
            <w:col w:w="6519"/>
          </w:cols>
          <w:pgMar w:left="240" w:top="142" w:right="1440" w:bottom="335"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Keith S. Anderson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w:t>
      </w:r>
    </w:p>
    <w:p>
      <w:pPr>
        <w:spacing w:after="0" w:line="200" w:lineRule="exact"/>
        <w:rPr>
          <w:sz w:val="20"/>
          <w:szCs w:val="20"/>
          <w:color w:val="auto"/>
        </w:rPr>
      </w:pPr>
    </w:p>
    <w:p>
      <w:pPr>
        <w:sectPr>
          <w:pgSz w:w="11900" w:h="16838" w:orient="portrait"/>
          <w:cols w:equalWidth="0" w:num="2">
            <w:col w:w="2980" w:space="720"/>
            <w:col w:w="6519"/>
          </w:cols>
          <w:pgMar w:left="240" w:top="142" w:right="1440" w:bottom="335"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Harry B. Snyder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Treasurer</w:t>
      </w:r>
    </w:p>
    <w:p>
      <w:pPr>
        <w:spacing w:after="0" w:line="200" w:lineRule="exact"/>
        <w:rPr>
          <w:sz w:val="20"/>
          <w:szCs w:val="20"/>
          <w:color w:val="auto"/>
        </w:rPr>
      </w:pPr>
    </w:p>
    <w:p>
      <w:pPr>
        <w:sectPr>
          <w:pgSz w:w="11900" w:h="16838" w:orient="portrait"/>
          <w:cols w:equalWidth="0" w:num="2">
            <w:col w:w="2980" w:space="720"/>
            <w:col w:w="6519"/>
          </w:cols>
          <w:pgMar w:left="240" w:top="142" w:right="1440" w:bottom="335"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Joseph H. Epel</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Assistant Treasurer</w:t>
      </w:r>
    </w:p>
    <w:p>
      <w:pPr>
        <w:spacing w:after="0" w:line="200" w:lineRule="exact"/>
        <w:rPr>
          <w:sz w:val="20"/>
          <w:szCs w:val="20"/>
          <w:color w:val="auto"/>
        </w:rPr>
      </w:pPr>
    </w:p>
    <w:p>
      <w:pPr>
        <w:sectPr>
          <w:pgSz w:w="11900" w:h="16838" w:orient="portrait"/>
          <w:cols w:equalWidth="0" w:num="2">
            <w:col w:w="2980" w:space="720"/>
            <w:col w:w="6519"/>
          </w:cols>
          <w:pgMar w:left="240" w:top="142" w:right="1440" w:bottom="335"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A. Hurwich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Assistant Secretary</w:t>
      </w:r>
    </w:p>
    <w:p>
      <w:pPr>
        <w:spacing w:after="0" w:line="200" w:lineRule="exact"/>
        <w:rPr>
          <w:sz w:val="20"/>
          <w:szCs w:val="20"/>
          <w:color w:val="auto"/>
        </w:rPr>
      </w:pPr>
    </w:p>
    <w:p>
      <w:pPr>
        <w:sectPr>
          <w:pgSz w:w="11900" w:h="16838" w:orient="portrait"/>
          <w:cols w:equalWidth="0" w:num="2">
            <w:col w:w="2980" w:space="720"/>
            <w:col w:w="6519"/>
          </w:cols>
          <w:pgMar w:left="240" w:top="142" w:right="1440" w:bottom="335"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Lynch Telecommunications Corporation</w:t>
      </w:r>
    </w:p>
    <w:p>
      <w:pPr>
        <w:spacing w:after="0" w:line="238" w:lineRule="auto"/>
        <w:rPr>
          <w:sz w:val="20"/>
          <w:szCs w:val="20"/>
          <w:color w:val="auto"/>
        </w:rPr>
      </w:pPr>
      <w:r>
        <w:rPr>
          <w:rFonts w:ascii="Courier New" w:cs="Courier New" w:eastAsia="Courier New" w:hAnsi="Courier New"/>
          <w:sz w:val="18"/>
          <w:szCs w:val="18"/>
          <w:color w:val="auto"/>
        </w:rPr>
        <w:t>8 Sound Shore Drive</w:t>
      </w:r>
    </w:p>
    <w:p>
      <w:pPr>
        <w:spacing w:after="0"/>
        <w:tabs>
          <w:tab w:leader="none" w:pos="1560" w:val="left"/>
        </w:tabs>
        <w:rPr>
          <w:sz w:val="20"/>
          <w:szCs w:val="20"/>
          <w:color w:val="auto"/>
        </w:rPr>
      </w:pPr>
      <w:r>
        <w:rPr>
          <w:rFonts w:ascii="Courier New" w:cs="Courier New" w:eastAsia="Courier New" w:hAnsi="Courier New"/>
          <w:sz w:val="18"/>
          <w:szCs w:val="18"/>
          <w:color w:val="auto"/>
        </w:rPr>
        <w:t>Greenwich, CT</w:t>
        <w:tab/>
        <w:t>06830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4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Richard A. Kiesling</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2801 International Lane</w:t>
            </w:r>
          </w:p>
        </w:tc>
      </w:tr>
      <w:tr>
        <w:trPr>
          <w:trHeight w:val="203"/>
        </w:trPr>
        <w:tc>
          <w:tcPr>
            <w:tcW w:w="3280" w:type="dxa"/>
            <w:vAlign w:val="bottom"/>
          </w:tcPr>
          <w:p>
            <w:pPr>
              <w:spacing w:after="0"/>
              <w:rPr>
                <w:sz w:val="17"/>
                <w:szCs w:val="17"/>
                <w:color w:val="auto"/>
              </w:rPr>
            </w:pPr>
          </w:p>
        </w:tc>
        <w:tc>
          <w:tcPr>
            <w:tcW w:w="1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Suite 207</w:t>
            </w:r>
          </w:p>
        </w:tc>
        <w:tc>
          <w:tcPr>
            <w:tcW w:w="254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Madison, WI  53740</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Robert E. Dolan</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Robert A. Snyder</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See above-Inter-Community</w:t>
            </w:r>
          </w:p>
        </w:tc>
      </w:tr>
      <w:tr>
        <w:trPr>
          <w:trHeight w:val="203"/>
        </w:trPr>
        <w:tc>
          <w:tcPr>
            <w:tcW w:w="3280" w:type="dxa"/>
            <w:vAlign w:val="bottom"/>
          </w:tcPr>
          <w:p>
            <w:pPr>
              <w:spacing w:after="0"/>
              <w:rPr>
                <w:sz w:val="17"/>
                <w:szCs w:val="17"/>
                <w:color w:val="auto"/>
              </w:rPr>
            </w:pPr>
          </w:p>
        </w:tc>
        <w:tc>
          <w:tcPr>
            <w:tcW w:w="1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Telephone</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Eugene P. Connell</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4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Robert A. Hurwich</w:t>
            </w:r>
          </w:p>
        </w:tc>
        <w:tc>
          <w:tcPr>
            <w:tcW w:w="1460" w:type="dxa"/>
            <w:vAlign w:val="bottom"/>
          </w:tcPr>
          <w:p>
            <w:pPr>
              <w:ind w:left="420"/>
              <w:spacing w:after="0"/>
              <w:rPr>
                <w:sz w:val="20"/>
                <w:szCs w:val="20"/>
                <w:color w:val="auto"/>
              </w:rPr>
            </w:pPr>
            <w:r>
              <w:rPr>
                <w:rFonts w:ascii="Courier New" w:cs="Courier New" w:eastAsia="Courier New" w:hAnsi="Courier New"/>
                <w:sz w:val="18"/>
                <w:szCs w:val="18"/>
                <w:color w:val="auto"/>
              </w:rPr>
              <w:t>Secretary</w:t>
            </w:r>
          </w:p>
        </w:tc>
        <w:tc>
          <w:tcPr>
            <w:tcW w:w="254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Joseph H. Epel</w:t>
            </w:r>
          </w:p>
        </w:tc>
        <w:tc>
          <w:tcPr>
            <w:tcW w:w="1460" w:type="dxa"/>
            <w:vAlign w:val="bottom"/>
          </w:tcPr>
          <w:p>
            <w:pPr>
              <w:ind w:left="420"/>
              <w:spacing w:after="0"/>
              <w:rPr>
                <w:sz w:val="20"/>
                <w:szCs w:val="20"/>
                <w:color w:val="auto"/>
              </w:rPr>
            </w:pPr>
            <w:r>
              <w:rPr>
                <w:rFonts w:ascii="Courier New" w:cs="Courier New" w:eastAsia="Courier New" w:hAnsi="Courier New"/>
                <w:sz w:val="18"/>
                <w:szCs w:val="18"/>
                <w:color w:val="auto"/>
              </w:rPr>
              <w:t>Treasurer</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and</w:t>
            </w:r>
          </w:p>
        </w:tc>
      </w:tr>
      <w:tr>
        <w:trPr>
          <w:trHeight w:val="203"/>
        </w:trPr>
        <w:tc>
          <w:tcPr>
            <w:tcW w:w="3280" w:type="dxa"/>
            <w:vAlign w:val="bottom"/>
          </w:tcPr>
          <w:p>
            <w:pPr>
              <w:spacing w:after="0"/>
              <w:rPr>
                <w:sz w:val="17"/>
                <w:szCs w:val="17"/>
                <w:color w:val="auto"/>
              </w:rPr>
            </w:pPr>
          </w:p>
        </w:tc>
        <w:tc>
          <w:tcPr>
            <w:tcW w:w="1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Assistant</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Secretary</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Robert E. Dolan</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President, Controller, Assistant</w:t>
            </w:r>
          </w:p>
        </w:tc>
      </w:tr>
      <w:tr>
        <w:trPr>
          <w:trHeight w:val="203"/>
        </w:trPr>
        <w:tc>
          <w:tcPr>
            <w:tcW w:w="3280" w:type="dxa"/>
            <w:vAlign w:val="bottom"/>
          </w:tcPr>
          <w:p>
            <w:pPr>
              <w:spacing w:after="0"/>
              <w:rPr>
                <w:sz w:val="17"/>
                <w:szCs w:val="17"/>
                <w:color w:val="auto"/>
              </w:rPr>
            </w:pPr>
          </w:p>
        </w:tc>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6"/>
              </w:rPr>
              <w:t>Treasurer, and Assistant Secretary</w:t>
            </w:r>
          </w:p>
        </w:tc>
      </w:tr>
      <w:tr>
        <w:trPr>
          <w:trHeight w:val="608"/>
        </w:trPr>
        <w:tc>
          <w:tcPr>
            <w:tcW w:w="3280" w:type="dxa"/>
            <w:vAlign w:val="bottom"/>
          </w:tcPr>
          <w:p>
            <w:pPr>
              <w:spacing w:after="0"/>
              <w:rPr>
                <w:sz w:val="20"/>
                <w:szCs w:val="20"/>
                <w:color w:val="auto"/>
              </w:rPr>
            </w:pPr>
            <w:r>
              <w:rPr>
                <w:rFonts w:ascii="Courier New" w:cs="Courier New" w:eastAsia="Courier New" w:hAnsi="Courier New"/>
                <w:sz w:val="18"/>
                <w:szCs w:val="18"/>
                <w:color w:val="auto"/>
              </w:rPr>
              <w:t>Lynch Telephone Corporation</w:t>
            </w:r>
          </w:p>
        </w:tc>
        <w:tc>
          <w:tcPr>
            <w:tcW w:w="14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8 Sound Shore Drive</w:t>
            </w:r>
          </w:p>
        </w:tc>
        <w:tc>
          <w:tcPr>
            <w:tcW w:w="14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Greenwich, CT  06830</w:t>
            </w:r>
          </w:p>
        </w:tc>
        <w:tc>
          <w:tcPr>
            <w:tcW w:w="14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4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Robert E. Dolan</w:t>
            </w:r>
          </w:p>
        </w:tc>
        <w:tc>
          <w:tcPr>
            <w:tcW w:w="1460" w:type="dxa"/>
            <w:vAlign w:val="bottom"/>
          </w:tcPr>
          <w:p>
            <w:pPr>
              <w:ind w:left="420"/>
              <w:spacing w:after="0"/>
              <w:rPr>
                <w:sz w:val="20"/>
                <w:szCs w:val="20"/>
                <w:color w:val="auto"/>
              </w:rPr>
            </w:pPr>
            <w:r>
              <w:rPr>
                <w:rFonts w:ascii="Courier New" w:cs="Courier New" w:eastAsia="Courier New" w:hAnsi="Courier New"/>
                <w:sz w:val="18"/>
                <w:szCs w:val="18"/>
                <w:color w:val="auto"/>
                <w:w w:val="94"/>
              </w:rPr>
              <w:t>Controller</w:t>
            </w:r>
          </w:p>
        </w:tc>
        <w:tc>
          <w:tcPr>
            <w:tcW w:w="254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Jack W. Keen</w:t>
            </w:r>
          </w:p>
        </w:tc>
        <w:tc>
          <w:tcPr>
            <w:tcW w:w="1460" w:type="dxa"/>
            <w:vAlign w:val="bottom"/>
          </w:tcPr>
          <w:p>
            <w:pPr>
              <w:ind w:left="420"/>
              <w:spacing w:after="0"/>
              <w:rPr>
                <w:sz w:val="20"/>
                <w:szCs w:val="20"/>
                <w:color w:val="auto"/>
              </w:rPr>
            </w:pPr>
            <w:r>
              <w:rPr>
                <w:rFonts w:ascii="Courier New" w:cs="Courier New" w:eastAsia="Courier New" w:hAnsi="Courier New"/>
                <w:sz w:val="18"/>
                <w:szCs w:val="18"/>
                <w:color w:val="auto"/>
              </w:rPr>
              <w:t>President</w:t>
            </w:r>
          </w:p>
        </w:tc>
        <w:tc>
          <w:tcPr>
            <w:tcW w:w="254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Robert A. Hurwich</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Eugene P. Connell</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4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Jack C. Keen</w:t>
            </w:r>
          </w:p>
        </w:tc>
        <w:tc>
          <w:tcPr>
            <w:tcW w:w="1460" w:type="dxa"/>
            <w:vAlign w:val="bottom"/>
          </w:tcPr>
          <w:p>
            <w:pPr>
              <w:ind w:left="420"/>
              <w:spacing w:after="0"/>
              <w:rPr>
                <w:sz w:val="20"/>
                <w:szCs w:val="20"/>
                <w:color w:val="auto"/>
              </w:rPr>
            </w:pPr>
            <w:r>
              <w:rPr>
                <w:rFonts w:ascii="Courier New" w:cs="Courier New" w:eastAsia="Courier New" w:hAnsi="Courier New"/>
                <w:sz w:val="18"/>
                <w:szCs w:val="18"/>
                <w:color w:val="auto"/>
              </w:rPr>
              <w:t>Chairman</w:t>
            </w:r>
          </w:p>
        </w:tc>
        <w:tc>
          <w:tcPr>
            <w:tcW w:w="254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Jack W. Keen</w:t>
            </w:r>
          </w:p>
        </w:tc>
        <w:tc>
          <w:tcPr>
            <w:tcW w:w="1460" w:type="dxa"/>
            <w:vAlign w:val="bottom"/>
          </w:tcPr>
          <w:p>
            <w:pPr>
              <w:ind w:left="420"/>
              <w:spacing w:after="0"/>
              <w:rPr>
                <w:sz w:val="20"/>
                <w:szCs w:val="20"/>
                <w:color w:val="auto"/>
              </w:rPr>
            </w:pPr>
            <w:r>
              <w:rPr>
                <w:rFonts w:ascii="Courier New" w:cs="Courier New" w:eastAsia="Courier New" w:hAnsi="Courier New"/>
                <w:sz w:val="18"/>
                <w:szCs w:val="18"/>
                <w:color w:val="auto"/>
              </w:rPr>
              <w:t>President</w:t>
            </w:r>
          </w:p>
        </w:tc>
        <w:tc>
          <w:tcPr>
            <w:tcW w:w="254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Robert A. Hurwich</w:t>
            </w:r>
          </w:p>
        </w:tc>
        <w:tc>
          <w:tcPr>
            <w:tcW w:w="1460" w:type="dxa"/>
            <w:vAlign w:val="bottom"/>
          </w:tcPr>
          <w:p>
            <w:pPr>
              <w:ind w:left="420"/>
              <w:spacing w:after="0"/>
              <w:rPr>
                <w:sz w:val="20"/>
                <w:szCs w:val="20"/>
                <w:color w:val="auto"/>
              </w:rPr>
            </w:pPr>
            <w:r>
              <w:rPr>
                <w:rFonts w:ascii="Courier New" w:cs="Courier New" w:eastAsia="Courier New" w:hAnsi="Courier New"/>
                <w:sz w:val="18"/>
                <w:szCs w:val="18"/>
                <w:color w:val="auto"/>
              </w:rPr>
              <w:t>Secretary</w:t>
            </w:r>
          </w:p>
        </w:tc>
        <w:tc>
          <w:tcPr>
            <w:tcW w:w="254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Mary Beth Baxter</w:t>
            </w:r>
          </w:p>
        </w:tc>
        <w:tc>
          <w:tcPr>
            <w:tcW w:w="1460" w:type="dxa"/>
            <w:vAlign w:val="bottom"/>
          </w:tcPr>
          <w:p>
            <w:pPr>
              <w:ind w:left="420"/>
              <w:spacing w:after="0"/>
              <w:rPr>
                <w:sz w:val="20"/>
                <w:szCs w:val="20"/>
                <w:color w:val="auto"/>
              </w:rPr>
            </w:pPr>
            <w:r>
              <w:rPr>
                <w:rFonts w:ascii="Courier New" w:cs="Courier New" w:eastAsia="Courier New" w:hAnsi="Courier New"/>
                <w:sz w:val="18"/>
                <w:szCs w:val="18"/>
                <w:color w:val="auto"/>
              </w:rPr>
              <w:t>Treasurer</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and</w:t>
            </w:r>
          </w:p>
        </w:tc>
      </w:tr>
      <w:tr>
        <w:trPr>
          <w:trHeight w:val="203"/>
        </w:trPr>
        <w:tc>
          <w:tcPr>
            <w:tcW w:w="3280" w:type="dxa"/>
            <w:vAlign w:val="bottom"/>
          </w:tcPr>
          <w:p>
            <w:pPr>
              <w:spacing w:after="0"/>
              <w:rPr>
                <w:sz w:val="17"/>
                <w:szCs w:val="17"/>
                <w:color w:val="auto"/>
              </w:rPr>
            </w:pPr>
          </w:p>
        </w:tc>
        <w:tc>
          <w:tcPr>
            <w:tcW w:w="1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Assistant</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Secretary</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Robert E. Dolan</w:t>
            </w:r>
          </w:p>
        </w:tc>
        <w:tc>
          <w:tcPr>
            <w:tcW w:w="1460" w:type="dxa"/>
            <w:vAlign w:val="bottom"/>
          </w:tcPr>
          <w:p>
            <w:pPr>
              <w:ind w:left="420"/>
              <w:spacing w:after="0"/>
              <w:rPr>
                <w:sz w:val="20"/>
                <w:szCs w:val="20"/>
                <w:color w:val="auto"/>
              </w:rPr>
            </w:pPr>
            <w:r>
              <w:rPr>
                <w:rFonts w:ascii="Courier New" w:cs="Courier New" w:eastAsia="Courier New" w:hAnsi="Courier New"/>
                <w:sz w:val="18"/>
                <w:szCs w:val="18"/>
                <w:color w:val="auto"/>
                <w:w w:val="94"/>
              </w:rPr>
              <w:t>Controller</w:t>
            </w:r>
          </w:p>
        </w:tc>
        <w:tc>
          <w:tcPr>
            <w:tcW w:w="2540" w:type="dxa"/>
            <w:vAlign w:val="bottom"/>
          </w:tcPr>
          <w:p>
            <w:pPr>
              <w:spacing w:after="0"/>
              <w:rPr>
                <w:sz w:val="24"/>
                <w:szCs w:val="24"/>
                <w:color w:val="auto"/>
              </w:rPr>
            </w:pPr>
          </w:p>
        </w:tc>
      </w:tr>
    </w:tbl>
    <w:p>
      <w:pPr>
        <w:sectPr>
          <w:pgSz w:w="11900" w:h="16838" w:orient="portrait"/>
          <w:cols w:equalWidth="0" w:num="1">
            <w:col w:w="10219"/>
          </w:cols>
          <w:pgMar w:left="240" w:top="142" w:right="1440" w:bottom="335" w:gutter="0" w:footer="0" w:header="0"/>
          <w:type w:val="continuous"/>
        </w:sectPr>
      </w:pPr>
    </w:p>
    <w:bookmarkStart w:id="18" w:name="page19"/>
    <w:bookmarkEnd w:id="18"/>
    <w:p>
      <w:pPr>
        <w:jc w:val="center"/>
        <w:ind w:right="199"/>
        <w:spacing w:after="0"/>
        <w:rPr>
          <w:sz w:val="20"/>
          <w:szCs w:val="20"/>
          <w:color w:val="auto"/>
        </w:rPr>
      </w:pPr>
      <w:r>
        <w:rPr>
          <w:rFonts w:ascii="Courier New" w:cs="Courier New" w:eastAsia="Courier New" w:hAnsi="Courier New"/>
          <w:sz w:val="18"/>
          <w:szCs w:val="18"/>
          <w:color w:val="auto"/>
        </w:rPr>
        <w:t>SCHEDULE II</w:t>
      </w:r>
    </w:p>
    <w:p>
      <w:pPr>
        <w:jc w:val="center"/>
        <w:ind w:right="199"/>
        <w:spacing w:after="0" w:line="238" w:lineRule="auto"/>
        <w:rPr>
          <w:sz w:val="20"/>
          <w:szCs w:val="20"/>
          <w:color w:val="auto"/>
        </w:rPr>
      </w:pPr>
      <w:r>
        <w:rPr>
          <w:rFonts w:ascii="Courier New" w:cs="Courier New" w:eastAsia="Courier New" w:hAnsi="Courier New"/>
          <w:sz w:val="18"/>
          <w:szCs w:val="18"/>
          <w:color w:val="auto"/>
        </w:rPr>
        <w:t>INFORMATION WITH RESPECT TO</w:t>
      </w:r>
    </w:p>
    <w:p>
      <w:pPr>
        <w:spacing w:after="0" w:line="5" w:lineRule="exact"/>
        <w:rPr>
          <w:sz w:val="20"/>
          <w:szCs w:val="20"/>
          <w:color w:val="auto"/>
        </w:rPr>
      </w:pPr>
    </w:p>
    <w:p>
      <w:pPr>
        <w:ind w:left="1680" w:right="1999" w:firstLine="105"/>
        <w:spacing w:after="0" w:line="235" w:lineRule="auto"/>
        <w:rPr>
          <w:sz w:val="20"/>
          <w:szCs w:val="20"/>
          <w:color w:val="auto"/>
        </w:rPr>
      </w:pPr>
      <w:r>
        <w:rPr>
          <w:rFonts w:ascii="Courier New" w:cs="Courier New" w:eastAsia="Courier New" w:hAnsi="Courier New"/>
          <w:sz w:val="18"/>
          <w:szCs w:val="18"/>
          <w:color w:val="auto"/>
        </w:rPr>
        <w:t>TRANSACTIONS EFFECTED DURING THE PAST SIXTY DAYS OR SINCE THE MOST RECENTFILINGONSCHEDULE 13D(1)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26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SHARES PURCHASED</w:t>
            </w:r>
          </w:p>
        </w:tc>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AVERAGE</w:t>
            </w:r>
          </w:p>
        </w:tc>
      </w:tr>
      <w:tr>
        <w:trPr>
          <w:trHeight w:val="203"/>
        </w:trPr>
        <w:tc>
          <w:tcPr>
            <w:tcW w:w="3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DATE</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SOLD(-)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PRICE(2)</w:t>
            </w:r>
          </w:p>
        </w:tc>
      </w:tr>
      <w:tr>
        <w:trPr>
          <w:trHeight w:val="405"/>
        </w:trPr>
        <w:tc>
          <w:tcPr>
            <w:tcW w:w="3380" w:type="dxa"/>
            <w:vAlign w:val="bottom"/>
          </w:tcPr>
          <w:p>
            <w:pPr>
              <w:jc w:val="right"/>
              <w:spacing w:after="0"/>
              <w:rPr>
                <w:sz w:val="20"/>
                <w:szCs w:val="20"/>
                <w:color w:val="auto"/>
              </w:rPr>
            </w:pPr>
            <w:r>
              <w:rPr>
                <w:rFonts w:ascii="Courier New" w:cs="Courier New" w:eastAsia="Courier New" w:hAnsi="Courier New"/>
                <w:sz w:val="18"/>
                <w:szCs w:val="18"/>
                <w:color w:val="auto"/>
              </w:rPr>
              <w:t>COMMON STOCK-SOUTHWEST GAS CORP</w:t>
            </w:r>
          </w:p>
        </w:tc>
        <w:tc>
          <w:tcPr>
            <w:tcW w:w="26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GABELLI FUNDS, INC.</w:t>
            </w:r>
          </w:p>
        </w:tc>
        <w:tc>
          <w:tcPr>
            <w:tcW w:w="26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GABELLI VALUE FUND,INC.</w:t>
            </w:r>
          </w:p>
        </w:tc>
        <w:tc>
          <w:tcPr>
            <w:tcW w:w="26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1/29/98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200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18.0500</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1/28/98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12,800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18.0500</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12/23/97</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3,000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18.3000</w:t>
            </w:r>
          </w:p>
        </w:tc>
      </w:tr>
      <w:tr>
        <w:trPr>
          <w:trHeight w:val="203"/>
        </w:trPr>
        <w:tc>
          <w:tcPr>
            <w:tcW w:w="3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THE GABELLI ASSET FUND</w:t>
            </w:r>
          </w:p>
        </w:tc>
        <w:tc>
          <w:tcPr>
            <w:tcW w:w="26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1/27/98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20,000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18.0438</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GAMCO INVESTORS, INC.</w:t>
            </w:r>
          </w:p>
        </w:tc>
        <w:tc>
          <w:tcPr>
            <w:tcW w:w="26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1/30/98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20,000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18.3750</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1/30/98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6,000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18.2188</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1/29/98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9,500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18.0750</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1/29/98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5,900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18.0000</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1/28/98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9,700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18.0000</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1/27/98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2,500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17.8375</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1/27/98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1,800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17.7500</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1/27/98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4,100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18.0000</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1/26/98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1,500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17.5625</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1/23/98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4,000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17.6875</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1,400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18.0625</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500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18.1250</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16,700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18.0311</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500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18.0000</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1,000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18.4375</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6,000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18.0625</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4,500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18.1875</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17,800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18.1461</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11,000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18.1250</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1/15/98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1,000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18.0625</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1/15/98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5,000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18.0000</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1/14/98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5,100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17.9853</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1/13/98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5,000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18.2500</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1/13/98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200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17.9375</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4,400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17.9375</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3,000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18.0000</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6,200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17.9597</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1/07/98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5,500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18.1148</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1/06/98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1,000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18.4375</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1/06/98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3,500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18.3571</w:t>
            </w:r>
          </w:p>
        </w:tc>
      </w:tr>
      <w:tr>
        <w:trPr>
          <w:trHeight w:val="608"/>
        </w:trPr>
        <w:tc>
          <w:tcPr>
            <w:tcW w:w="3380" w:type="dxa"/>
            <w:vAlign w:val="bottom"/>
          </w:tcPr>
          <w:p>
            <w:pPr>
              <w:spacing w:after="0"/>
              <w:rPr>
                <w:sz w:val="24"/>
                <w:szCs w:val="24"/>
                <w:color w:val="auto"/>
              </w:rPr>
            </w:pPr>
          </w:p>
        </w:tc>
        <w:tc>
          <w:tcPr>
            <w:tcW w:w="2620" w:type="dxa"/>
            <w:vAlign w:val="bottom"/>
          </w:tcPr>
          <w:p>
            <w:pPr>
              <w:jc w:val="right"/>
              <w:ind w:right="2332"/>
              <w:spacing w:after="0"/>
              <w:rPr>
                <w:sz w:val="20"/>
                <w:szCs w:val="20"/>
                <w:color w:val="auto"/>
              </w:rPr>
            </w:pPr>
            <w:r>
              <w:rPr>
                <w:rFonts w:ascii="Courier New" w:cs="Courier New" w:eastAsia="Courier New" w:hAnsi="Courier New"/>
                <w:sz w:val="18"/>
                <w:szCs w:val="18"/>
                <w:color w:val="auto"/>
                <w:w w:val="83"/>
              </w:rPr>
              <w:t>30</w:t>
            </w:r>
          </w:p>
        </w:tc>
        <w:tc>
          <w:tcPr>
            <w:tcW w:w="1160" w:type="dxa"/>
            <w:vAlign w:val="bottom"/>
          </w:tcPr>
          <w:p>
            <w:pPr>
              <w:spacing w:after="0"/>
              <w:rPr>
                <w:sz w:val="24"/>
                <w:szCs w:val="24"/>
                <w:color w:val="auto"/>
              </w:rPr>
            </w:pPr>
          </w:p>
        </w:tc>
      </w:tr>
      <w:tr>
        <w:trPr>
          <w:trHeight w:val="608"/>
        </w:trPr>
        <w:tc>
          <w:tcPr>
            <w:tcW w:w="3380" w:type="dxa"/>
            <w:vAlign w:val="bottom"/>
          </w:tcPr>
          <w:p>
            <w:pPr>
              <w:spacing w:after="0"/>
              <w:rPr>
                <w:sz w:val="24"/>
                <w:szCs w:val="24"/>
                <w:color w:val="auto"/>
              </w:rPr>
            </w:pPr>
          </w:p>
        </w:tc>
        <w:tc>
          <w:tcPr>
            <w:tcW w:w="262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SCHEDULE II</w:t>
            </w:r>
          </w:p>
        </w:tc>
        <w:tc>
          <w:tcPr>
            <w:tcW w:w="1160" w:type="dxa"/>
            <w:vAlign w:val="bottom"/>
          </w:tcPr>
          <w:p>
            <w:pPr>
              <w:spacing w:after="0"/>
              <w:rPr>
                <w:sz w:val="24"/>
                <w:szCs w:val="24"/>
                <w:color w:val="auto"/>
              </w:rPr>
            </w:pPr>
          </w:p>
        </w:tc>
      </w:tr>
      <w:tr>
        <w:trPr>
          <w:trHeight w:val="405"/>
        </w:trPr>
        <w:tc>
          <w:tcPr>
            <w:tcW w:w="60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INFORMATION WITH RESPECT TO</w:t>
            </w:r>
          </w:p>
        </w:tc>
        <w:tc>
          <w:tcPr>
            <w:tcW w:w="1160" w:type="dxa"/>
            <w:vAlign w:val="bottom"/>
          </w:tcPr>
          <w:p>
            <w:pPr>
              <w:spacing w:after="0"/>
              <w:rPr>
                <w:sz w:val="24"/>
                <w:szCs w:val="24"/>
                <w:color w:val="auto"/>
              </w:rPr>
            </w:pPr>
          </w:p>
        </w:tc>
      </w:tr>
      <w:tr>
        <w:trPr>
          <w:trHeight w:val="203"/>
        </w:trPr>
        <w:tc>
          <w:tcPr>
            <w:tcW w:w="7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TRANSACTIONS EFFECTED DURING THE PAST SIXTY DAYS OR</w:t>
            </w:r>
          </w:p>
        </w:tc>
      </w:tr>
      <w:tr>
        <w:trPr>
          <w:trHeight w:val="203"/>
        </w:trPr>
        <w:tc>
          <w:tcPr>
            <w:tcW w:w="7160" w:type="dxa"/>
            <w:vAlign w:val="bottom"/>
            <w:gridSpan w:val="3"/>
          </w:tcPr>
          <w:p>
            <w:pPr>
              <w:ind w:left="1800"/>
              <w:spacing w:after="0" w:line="203" w:lineRule="exact"/>
              <w:rPr>
                <w:sz w:val="20"/>
                <w:szCs w:val="20"/>
                <w:color w:val="auto"/>
              </w:rPr>
            </w:pPr>
            <w:r>
              <w:rPr>
                <w:rFonts w:ascii="Courier New" w:cs="Courier New" w:eastAsia="Courier New" w:hAnsi="Courier New"/>
                <w:sz w:val="18"/>
                <w:szCs w:val="18"/>
                <w:color w:val="auto"/>
              </w:rPr>
              <w:t>SINCE THE MOST RECENT FILING ON SCHEDULE 13D (1)</w:t>
            </w:r>
          </w:p>
        </w:tc>
      </w:tr>
      <w:tr>
        <w:trPr>
          <w:trHeight w:val="405"/>
        </w:trPr>
        <w:tc>
          <w:tcPr>
            <w:tcW w:w="3380" w:type="dxa"/>
            <w:vAlign w:val="bottom"/>
          </w:tcPr>
          <w:p>
            <w:pPr>
              <w:spacing w:after="0"/>
              <w:rPr>
                <w:sz w:val="24"/>
                <w:szCs w:val="24"/>
                <w:color w:val="auto"/>
              </w:rPr>
            </w:pPr>
          </w:p>
        </w:tc>
        <w:tc>
          <w:tcPr>
            <w:tcW w:w="26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SHARES PURCHASED</w:t>
            </w:r>
          </w:p>
        </w:tc>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AVERAGE</w:t>
            </w:r>
          </w:p>
        </w:tc>
      </w:tr>
      <w:tr>
        <w:trPr>
          <w:trHeight w:val="203"/>
        </w:trPr>
        <w:tc>
          <w:tcPr>
            <w:tcW w:w="3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DATE</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SOLD(-)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PRICE(2)</w:t>
            </w:r>
          </w:p>
        </w:tc>
      </w:tr>
      <w:tr>
        <w:trPr>
          <w:trHeight w:val="405"/>
        </w:trPr>
        <w:tc>
          <w:tcPr>
            <w:tcW w:w="3380" w:type="dxa"/>
            <w:vAlign w:val="bottom"/>
          </w:tcPr>
          <w:p>
            <w:pPr>
              <w:jc w:val="right"/>
              <w:spacing w:after="0"/>
              <w:rPr>
                <w:sz w:val="20"/>
                <w:szCs w:val="20"/>
                <w:color w:val="auto"/>
              </w:rPr>
            </w:pPr>
            <w:r>
              <w:rPr>
                <w:rFonts w:ascii="Courier New" w:cs="Courier New" w:eastAsia="Courier New" w:hAnsi="Courier New"/>
                <w:sz w:val="18"/>
                <w:szCs w:val="18"/>
                <w:color w:val="auto"/>
              </w:rPr>
              <w:t>COMMON STOCK-SOUTHWEST GAS CORP</w:t>
            </w:r>
          </w:p>
        </w:tc>
        <w:tc>
          <w:tcPr>
            <w:tcW w:w="26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GAMCO INVESTORS, INC.</w:t>
            </w:r>
          </w:p>
        </w:tc>
        <w:tc>
          <w:tcPr>
            <w:tcW w:w="26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1/05/98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22,300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18.7035</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1/02/98</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8,100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18.7500</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12/31/97</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3,100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18.7762</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12/30/97</w:t>
            </w:r>
          </w:p>
        </w:tc>
        <w:tc>
          <w:tcPr>
            <w:tcW w:w="2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1,000-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18.6875</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12/29/97</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500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18.4375</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12/26/97</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3,000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18.4375</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12/24/97</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2,000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18.3750</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12/23/97</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6,000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18.6250</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12/23/97</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5,000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18.5000</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12/22/97</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1,500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17.9375</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12/15/97</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1,000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18.3750</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12/15/97</w:t>
            </w:r>
          </w:p>
        </w:tc>
        <w:tc>
          <w:tcPr>
            <w:tcW w:w="2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2,000-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18.0625</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12/10/97</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5,000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18.1250</w:t>
            </w:r>
          </w:p>
        </w:tc>
      </w:tr>
      <w:tr>
        <w:trPr>
          <w:trHeight w:val="203"/>
        </w:trPr>
        <w:tc>
          <w:tcPr>
            <w:tcW w:w="3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12/09/97</w:t>
            </w:r>
          </w:p>
        </w:tc>
        <w:tc>
          <w:tcPr>
            <w:tcW w:w="26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4,000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18.1875</w:t>
            </w:r>
          </w:p>
        </w:tc>
      </w:tr>
    </w:tbl>
    <w:p>
      <w:pPr>
        <w:sectPr>
          <w:pgSz w:w="11900" w:h="16838" w:orient="portrait"/>
          <w:cols w:equalWidth="0" w:num="1">
            <w:col w:w="9159"/>
          </w:cols>
          <w:pgMar w:left="1300" w:top="541" w:right="1440" w:bottom="0" w:gutter="0" w:footer="0" w:header="0"/>
        </w:sectPr>
      </w:pPr>
    </w:p>
    <w:bookmarkStart w:id="19" w:name="page20"/>
    <w:bookmarkEnd w:id="19"/>
    <w:p>
      <w:pPr>
        <w:spacing w:after="0" w:line="1" w:lineRule="exact"/>
        <w:rPr>
          <w:sz w:val="20"/>
          <w:szCs w:val="20"/>
          <w:color w:val="auto"/>
        </w:rPr>
      </w:pPr>
    </w:p>
    <w:tbl>
      <w:tblPr>
        <w:tblLayout w:type="fixed"/>
        <w:tblInd w:w="2319" w:type="dxa"/>
        <w:tblCellMar>
          <w:top w:w="0" w:type="dxa"/>
          <w:left w:w="0" w:type="dxa"/>
          <w:bottom w:w="0" w:type="dxa"/>
          <w:right w:w="0" w:type="dxa"/>
        </w:tblCellMar>
      </w:tblPr>
      <w:tr>
        <w:trPr>
          <w:trHeight w:val="204"/>
        </w:trPr>
        <w:tc>
          <w:tcPr>
            <w:tcW w:w="148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4"/>
              </w:rPr>
              <w:t>12/04/97</w:t>
            </w:r>
          </w:p>
        </w:tc>
        <w:tc>
          <w:tcPr>
            <w:tcW w:w="17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1,500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18.3750</w:t>
            </w:r>
          </w:p>
        </w:tc>
      </w:tr>
      <w:tr>
        <w:trPr>
          <w:trHeight w:val="203"/>
        </w:trPr>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4"/>
              </w:rPr>
              <w:t>12/03/97</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18.1875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19" w:right="2619" w:hanging="419"/>
        <w:spacing w:after="0" w:line="235" w:lineRule="auto"/>
        <w:tabs>
          <w:tab w:leader="none" w:pos="41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INDICATED, ALL TRANSACTIONS WERE EFFECTED ON THE NY STOCK EXCHANGE.</w:t>
      </w:r>
    </w:p>
    <w:p>
      <w:pPr>
        <w:spacing w:after="0" w:line="202" w:lineRule="exact"/>
        <w:rPr>
          <w:rFonts w:ascii="Courier New" w:cs="Courier New" w:eastAsia="Courier New" w:hAnsi="Courier New"/>
          <w:sz w:val="18"/>
          <w:szCs w:val="18"/>
          <w:color w:val="auto"/>
        </w:rPr>
      </w:pPr>
    </w:p>
    <w:p>
      <w:pPr>
        <w:ind w:left="419" w:hanging="419"/>
        <w:spacing w:after="0"/>
        <w:tabs>
          <w:tab w:leader="none" w:pos="41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EXCLUDES COMMISSION.</w:t>
      </w:r>
    </w:p>
    <w:p>
      <w:pPr>
        <w:spacing w:after="0" w:line="207" w:lineRule="exact"/>
        <w:rPr>
          <w:sz w:val="20"/>
          <w:szCs w:val="20"/>
          <w:color w:val="auto"/>
        </w:rPr>
      </w:pPr>
    </w:p>
    <w:p>
      <w:pPr>
        <w:ind w:left="99" w:right="3159" w:hanging="99"/>
        <w:spacing w:after="0" w:line="235" w:lineRule="auto"/>
        <w:tabs>
          <w:tab w:leader="none" w:pos="41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RESULTS IN CHANGE OF DISPOSITIVE POWER AND BENEFICIAL OWNERSHIP.</w:t>
      </w:r>
    </w:p>
    <w:p>
      <w:pPr>
        <w:jc w:val="center"/>
        <w:ind w:right="-318"/>
        <w:spacing w:after="0"/>
        <w:rPr>
          <w:sz w:val="20"/>
          <w:szCs w:val="20"/>
          <w:color w:val="auto"/>
        </w:rPr>
      </w:pPr>
      <w:r>
        <w:rPr>
          <w:rFonts w:ascii="Courier New" w:cs="Courier New" w:eastAsia="Courier New" w:hAnsi="Courier New"/>
          <w:sz w:val="18"/>
          <w:szCs w:val="18"/>
          <w:color w:val="auto"/>
        </w:rPr>
        <w:t>31</w:t>
      </w:r>
    </w:p>
    <w:sectPr>
      <w:pgSz w:w="11900" w:h="16838" w:orient="portrait"/>
      <w:cols w:equalWidth="0" w:num="1">
        <w:col w:w="9158"/>
      </w:cols>
      <w:pgMar w:left="1301"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1)"/>
      <w:numFmt w:val="decimal"/>
      <w:start w:val="3"/>
    </w:lvl>
  </w:abstractNum>
  <w:abstractNum w:abstractNumId="2">
    <w:nsid w:val="721DA317"/>
    <w:multiLevelType w:val="hybridMultilevel"/>
    <w:lvl w:ilvl="0">
      <w:lvlJc w:val="left"/>
      <w:lvlText w:val="(%1)"/>
      <w:numFmt w:val="decimal"/>
      <w:start w:val="5"/>
    </w:lvl>
  </w:abstractNum>
  <w:abstractNum w:abstractNumId="3">
    <w:nsid w:val="2443A858"/>
    <w:multiLevelType w:val="hybridMultilevel"/>
    <w:lvl w:ilvl="0">
      <w:lvlJc w:val="left"/>
      <w:lvlText w:val="(%1)"/>
      <w:numFmt w:val="decimal"/>
      <w:start w:val="6"/>
    </w:lvl>
  </w:abstractNum>
  <w:abstractNum w:abstractNumId="4">
    <w:nsid w:val="2D1D5AE9"/>
    <w:multiLevelType w:val="hybridMultilevel"/>
    <w:lvl w:ilvl="0">
      <w:lvlJc w:val="left"/>
      <w:lvlText w:val="(%1)"/>
      <w:numFmt w:val="decimal"/>
      <w:start w:val="13"/>
    </w:lvl>
  </w:abstractNum>
  <w:abstractNum w:abstractNumId="5">
    <w:nsid w:val="6763845E"/>
    <w:multiLevelType w:val="hybridMultilevel"/>
    <w:lvl w:ilvl="0">
      <w:lvlJc w:val="left"/>
      <w:lvlText w:val="(%1)"/>
      <w:numFmt w:val="decimal"/>
      <w:start w:val="14"/>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3"/>
    </w:lvl>
  </w:abstractNum>
  <w:abstractNum w:abstractNumId="8">
    <w:nsid w:val="79838CB2"/>
    <w:multiLevelType w:val="hybridMultilevel"/>
    <w:lvl w:ilvl="0">
      <w:lvlJc w:val="left"/>
      <w:lvlText w:val="(%1)"/>
      <w:numFmt w:val="decimal"/>
      <w:start w:val="5"/>
    </w:lvl>
  </w:abstractNum>
  <w:abstractNum w:abstractNumId="9">
    <w:nsid w:val="4353D0CD"/>
    <w:multiLevelType w:val="hybridMultilevel"/>
    <w:lvl w:ilvl="0">
      <w:lvlJc w:val="left"/>
      <w:lvlText w:val="(%1)"/>
      <w:numFmt w:val="decimal"/>
      <w:start w:val="6"/>
    </w:lvl>
  </w:abstractNum>
  <w:abstractNum w:abstractNumId="10">
    <w:nsid w:val="B03E0C6"/>
    <w:multiLevelType w:val="hybridMultilevel"/>
    <w:lvl w:ilvl="0">
      <w:lvlJc w:val="left"/>
      <w:lvlText w:val="(%1)"/>
      <w:numFmt w:val="decimal"/>
      <w:start w:val="11"/>
    </w:lvl>
  </w:abstractNum>
  <w:abstractNum w:abstractNumId="11">
    <w:nsid w:val="189A769B"/>
    <w:multiLevelType w:val="hybridMultilevel"/>
    <w:lvl w:ilvl="0">
      <w:lvlJc w:val="left"/>
      <w:lvlText w:val="(%1)"/>
      <w:numFmt w:val="decimal"/>
      <w:start w:val="13"/>
    </w:lvl>
  </w:abstractNum>
  <w:abstractNum w:abstractNumId="12">
    <w:nsid w:val="54E49EB4"/>
    <w:multiLevelType w:val="hybridMultilevel"/>
    <w:lvl w:ilvl="0">
      <w:lvlJc w:val="left"/>
      <w:lvlText w:val="(%1)"/>
      <w:numFmt w:val="decimal"/>
      <w:start w:val="14"/>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3"/>
    </w:lvl>
  </w:abstractNum>
  <w:abstractNum w:abstractNumId="15">
    <w:nsid w:val="836C40E"/>
    <w:multiLevelType w:val="hybridMultilevel"/>
    <w:lvl w:ilvl="0">
      <w:lvlJc w:val="left"/>
      <w:lvlText w:val="(%1)"/>
      <w:numFmt w:val="decimal"/>
      <w:start w:val="5"/>
    </w:lvl>
  </w:abstractNum>
  <w:abstractNum w:abstractNumId="16">
    <w:nsid w:val="2901D82"/>
    <w:multiLevelType w:val="hybridMultilevel"/>
    <w:lvl w:ilvl="0">
      <w:lvlJc w:val="left"/>
      <w:lvlText w:val="(%1)"/>
      <w:numFmt w:val="decimal"/>
      <w:start w:val="6"/>
    </w:lvl>
  </w:abstractNum>
  <w:abstractNum w:abstractNumId="17">
    <w:nsid w:val="3A95F874"/>
    <w:multiLevelType w:val="hybridMultilevel"/>
    <w:lvl w:ilvl="0">
      <w:lvlJc w:val="left"/>
      <w:lvlText w:val="(%1)"/>
      <w:numFmt w:val="decimal"/>
      <w:start w:val="11"/>
    </w:lvl>
  </w:abstractNum>
  <w:abstractNum w:abstractNumId="18">
    <w:nsid w:val="8138641"/>
    <w:multiLevelType w:val="hybridMultilevel"/>
    <w:lvl w:ilvl="0">
      <w:lvlJc w:val="left"/>
      <w:lvlText w:val="(%1)"/>
      <w:numFmt w:val="decimal"/>
      <w:start w:val="13"/>
    </w:lvl>
  </w:abstractNum>
  <w:abstractNum w:abstractNumId="19">
    <w:nsid w:val="1E7FF521"/>
    <w:multiLevelType w:val="hybridMultilevel"/>
    <w:lvl w:ilvl="0">
      <w:lvlJc w:val="left"/>
      <w:lvlText w:val="(%1)"/>
      <w:numFmt w:val="decimal"/>
      <w:start w:val="14"/>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3"/>
    </w:lvl>
  </w:abstractNum>
  <w:abstractNum w:abstractNumId="23">
    <w:nsid w:val="22221A70"/>
    <w:multiLevelType w:val="hybridMultilevel"/>
    <w:lvl w:ilvl="0">
      <w:lvlJc w:val="left"/>
      <w:lvlText w:val="(%1)"/>
      <w:numFmt w:val="decimal"/>
      <w:start w:val="5"/>
    </w:lvl>
  </w:abstractNum>
  <w:abstractNum w:abstractNumId="24">
    <w:nsid w:val="4516DDE9"/>
    <w:multiLevelType w:val="hybridMultilevel"/>
    <w:lvl w:ilvl="0">
      <w:lvlJc w:val="left"/>
      <w:lvlText w:val="(%1)"/>
      <w:numFmt w:val="decimal"/>
      <w:start w:val="6"/>
    </w:lvl>
  </w:abstractNum>
  <w:abstractNum w:abstractNumId="25">
    <w:nsid w:val="3006C83E"/>
    <w:multiLevelType w:val="hybridMultilevel"/>
    <w:lvl w:ilvl="0">
      <w:lvlJc w:val="left"/>
      <w:lvlText w:val="(%1)"/>
      <w:numFmt w:val="decimal"/>
      <w:start w:val="11"/>
    </w:lvl>
  </w:abstractNum>
  <w:abstractNum w:abstractNumId="26">
    <w:nsid w:val="614FD4A1"/>
    <w:multiLevelType w:val="hybridMultilevel"/>
    <w:lvl w:ilvl="0">
      <w:lvlJc w:val="left"/>
      <w:lvlText w:val="(%1)"/>
      <w:numFmt w:val="decimal"/>
      <w:start w:val="14"/>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3"/>
    </w:lvl>
  </w:abstractNum>
  <w:abstractNum w:abstractNumId="29">
    <w:nsid w:val="440BADFC"/>
    <w:multiLevelType w:val="hybridMultilevel"/>
    <w:lvl w:ilvl="0">
      <w:lvlJc w:val="left"/>
      <w:lvlText w:val="(%1)"/>
      <w:numFmt w:val="decimal"/>
      <w:start w:val="5"/>
    </w:lvl>
  </w:abstractNum>
  <w:abstractNum w:abstractNumId="30">
    <w:nsid w:val="5072367"/>
    <w:multiLevelType w:val="hybridMultilevel"/>
    <w:lvl w:ilvl="0">
      <w:lvlJc w:val="left"/>
      <w:lvlText w:val="(%1)"/>
      <w:numFmt w:val="decimal"/>
      <w:start w:val="6"/>
    </w:lvl>
  </w:abstractNum>
  <w:abstractNum w:abstractNumId="31">
    <w:nsid w:val="3804823E"/>
    <w:multiLevelType w:val="hybridMultilevel"/>
    <w:lvl w:ilvl="0">
      <w:lvlJc w:val="left"/>
      <w:lvlText w:val="(%1)"/>
      <w:numFmt w:val="decimal"/>
      <w:start w:val="11"/>
    </w:lvl>
  </w:abstractNum>
  <w:abstractNum w:abstractNumId="32">
    <w:nsid w:val="77465F01"/>
    <w:multiLevelType w:val="hybridMultilevel"/>
    <w:lvl w:ilvl="0">
      <w:lvlJc w:val="left"/>
      <w:lvlText w:val="(%1)"/>
      <w:numFmt w:val="decimal"/>
      <w:start w:val="13"/>
    </w:lvl>
  </w:abstractNum>
  <w:abstractNum w:abstractNumId="33">
    <w:nsid w:val="7724C67E"/>
    <w:multiLevelType w:val="hybridMultilevel"/>
    <w:lvl w:ilvl="0">
      <w:lvlJc w:val="left"/>
      <w:lvlText w:val="(%1)"/>
      <w:numFmt w:val="decimal"/>
      <w:start w:val="14"/>
    </w:lvl>
  </w:abstractNum>
  <w:abstractNum w:abstractNumId="34">
    <w:nsid w:val="5C482A97"/>
    <w:multiLevelType w:val="hybridMultilevel"/>
    <w:lvl w:ilvl="0">
      <w:lvlJc w:val="left"/>
      <w:lvlText w:val="&amp;"/>
      <w:numFmt w:val="bullet"/>
      <w:start w:val="1"/>
    </w:lvl>
    <w:lvl w:ilvl="1">
      <w:lvlJc w:val="left"/>
      <w:lvlText w:val="%2"/>
      <w:numFmt w:val="lowerLetter"/>
      <w:start w:val="1"/>
    </w:lvl>
    <w:lvl w:ilvl="2">
      <w:lvlJc w:val="left"/>
      <w:lvlText w:val="(%3)"/>
      <w:numFmt w:val="lowerLetter"/>
      <w:start w:val="4"/>
    </w:lvl>
  </w:abstractNum>
  <w:abstractNum w:abstractNumId="35">
    <w:nsid w:val="2463B9EA"/>
    <w:multiLevelType w:val="hybridMultilevel"/>
    <w:lvl w:ilvl="0">
      <w:lvlJc w:val="left"/>
      <w:lvlText w:val="&amp;"/>
      <w:numFmt w:val="bullet"/>
      <w:start w:val="1"/>
    </w:lvl>
    <w:lvl w:ilvl="1">
      <w:lvlJc w:val="left"/>
      <w:lvlText w:val="(%2)"/>
      <w:numFmt w:val="lowerLetter"/>
      <w:start w:val="6"/>
    </w:lvl>
    <w:lvl w:ilvl="2">
      <w:lvlJc w:val="left"/>
      <w:lvlText w:val="%3"/>
      <w:numFmt w:val="lowerLetter"/>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lowerLetter"/>
      <w:start w:val="2"/>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2019-12-13T07:16:57Z</dcterms:created>
  <dcterms:modified xsi:type="dcterms:W3CDTF">2019-12-13T07:16:57Z</dcterms:modified>
</cp:coreProperties>
</file>