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1)</w:t>
      </w:r>
    </w:p>
    <w:p>
      <w:pPr>
        <w:spacing w:after="0" w:line="37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Southwest Gas Corporation</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Common Stock Par Value $1.00 Per Share</w:t>
      </w:r>
    </w:p>
    <w:p>
      <w:pPr>
        <w:spacing w:after="0" w:line="3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(Title of Class and Securities)</w:t>
      </w: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844895102</w:t>
      </w:r>
    </w:p>
    <w:p>
      <w:pPr>
        <w:spacing w:after="0" w:line="3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37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James E. McKee, Gabelli Funds, Inc.,</w:t>
      </w:r>
    </w:p>
    <w:p>
      <w:pPr>
        <w:spacing w:after="0" w:line="31" w:lineRule="exact"/>
        <w:rPr>
          <w:sz w:val="24"/>
          <w:szCs w:val="24"/>
          <w:color w:val="auto"/>
        </w:rPr>
      </w:pPr>
    </w:p>
    <w:p>
      <w:pPr>
        <w:jc w:val="center"/>
        <w:ind w:right="3479"/>
        <w:spacing w:after="0" w:line="273" w:lineRule="auto"/>
        <w:rPr>
          <w:sz w:val="20"/>
          <w:szCs w:val="20"/>
          <w:color w:val="auto"/>
        </w:rPr>
      </w:pPr>
      <w:r>
        <w:rPr>
          <w:rFonts w:ascii="Courier New" w:cs="Courier New" w:eastAsia="Courier New" w:hAnsi="Courier New"/>
          <w:sz w:val="18"/>
          <w:szCs w:val="18"/>
          <w:color w:val="auto"/>
        </w:rPr>
        <w:t>One Corporate Center, Rye, NY 10580-1434 (914) 921-5294 (Name, Address and Telephone Number of Person Authorized to Receive Notices and Communications)</w:t>
      </w:r>
    </w:p>
    <w:p>
      <w:pPr>
        <w:spacing w:after="0" w:line="285"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April 25, 1997</w:t>
      </w:r>
    </w:p>
    <w:p>
      <w:pPr>
        <w:spacing w:after="0" w:line="3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jc w:val="both"/>
        <w:ind w:right="3359"/>
        <w:spacing w:after="0" w:line="282"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State-ment because of Rule 13D-1(b)(3) or (4), check the following box:</w:t>
      </w:r>
    </w:p>
    <w:p>
      <w:pPr>
        <w:ind w:left="5900"/>
        <w:spacing w:after="0"/>
        <w:rPr>
          <w:sz w:val="20"/>
          <w:szCs w:val="20"/>
          <w:color w:val="auto"/>
        </w:rPr>
      </w:pPr>
      <w:r>
        <w:rPr>
          <w:rFonts w:ascii="Courier New" w:cs="Courier New" w:eastAsia="Courier New" w:hAnsi="Courier New"/>
          <w:sz w:val="18"/>
          <w:szCs w:val="18"/>
          <w:color w:val="auto"/>
        </w:rPr>
        <w:t>____</w:t>
      </w:r>
    </w:p>
    <w:p>
      <w:pPr>
        <w:ind w:left="5800"/>
        <w:spacing w:after="0"/>
        <w:rPr>
          <w:sz w:val="20"/>
          <w:szCs w:val="20"/>
          <w:color w:val="auto"/>
        </w:rPr>
      </w:pPr>
      <w:r>
        <w:rPr>
          <w:rFonts w:ascii="Courier New" w:cs="Courier New" w:eastAsia="Courier New" w:hAnsi="Courier New"/>
          <w:sz w:val="18"/>
          <w:szCs w:val="18"/>
          <w:color w:val="auto"/>
        </w:rPr>
        <w:t>/___/</w:t>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ind w:left="640"/>
        <w:spacing w:after="0"/>
        <w:tabs>
          <w:tab w:leader="none" w:pos="3880" w:val="left"/>
        </w:tabs>
        <w:rPr>
          <w:sz w:val="20"/>
          <w:szCs w:val="20"/>
          <w:color w:val="auto"/>
        </w:rPr>
      </w:pPr>
      <w:r>
        <w:rPr>
          <w:rFonts w:ascii="Courier New" w:cs="Courier New" w:eastAsia="Courier New" w:hAnsi="Courier New"/>
          <w:sz w:val="18"/>
          <w:szCs w:val="18"/>
          <w:color w:val="auto"/>
        </w:rPr>
        <w:t>Gabelli Funds, Inc.</w:t>
      </w:r>
      <w:r>
        <w:rPr>
          <w:sz w:val="20"/>
          <w:szCs w:val="20"/>
          <w:color w:val="auto"/>
        </w:rPr>
        <w:tab/>
      </w:r>
      <w:r>
        <w:rPr>
          <w:rFonts w:ascii="Courier New" w:cs="Courier New" w:eastAsia="Courier New" w:hAnsi="Courier New"/>
          <w:sz w:val="16"/>
          <w:szCs w:val="16"/>
          <w:color w:val="auto"/>
        </w:rPr>
        <w:t>I.D. No. 13-3056041</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company clients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4"/>
          <w:szCs w:val="24"/>
          <w:color w:val="auto"/>
        </w:rPr>
      </w:pPr>
    </w:p>
    <w:p>
      <w:pPr>
        <w:ind w:left="640" w:right="5899" w:hanging="632"/>
        <w:spacing w:after="0" w:line="238"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100" w:type="dxa"/>
            <w:vAlign w:val="bottom"/>
          </w:tcPr>
          <w:p>
            <w:pPr>
              <w:ind w:left="520"/>
              <w:spacing w:after="0" w:line="192" w:lineRule="exact"/>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440,000 (Item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440,000 (Item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(Item 5)</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218" w:right="1440" w:bottom="0" w:gutter="0" w:footer="0" w:header="0"/>
        </w:sectPr>
      </w:pPr>
    </w:p>
    <w:bookmarkStart w:id="1" w:name="page2"/>
    <w:bookmarkEnd w:id="1"/>
    <w:p>
      <w:pPr>
        <w:ind w:left="640" w:right="3359" w:hanging="632"/>
        <w:spacing w:after="0" w:line="257"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440,000 (Item 5)</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22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6"/>
              </w:rPr>
              <w:t>(12) CHECK BOX IF THE</w:t>
            </w:r>
          </w:p>
        </w:tc>
        <w:tc>
          <w:tcPr>
            <w:tcW w:w="342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AGGREGATE AMOUNT IN ROW 11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_____</w:t>
            </w: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EXCLUDES CERTAIN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x /</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PERCENT OF CLASS REPRESENTED BY AMOUNT IN ROW 11</w:t>
      </w:r>
    </w:p>
    <w:p>
      <w:pPr>
        <w:ind w:left="640"/>
        <w:spacing w:after="0" w:line="238" w:lineRule="auto"/>
        <w:rPr>
          <w:sz w:val="20"/>
          <w:szCs w:val="20"/>
          <w:color w:val="auto"/>
        </w:rPr>
      </w:pPr>
      <w:r>
        <w:rPr>
          <w:rFonts w:ascii="Courier New" w:cs="Courier New" w:eastAsia="Courier New" w:hAnsi="Courier New"/>
          <w:sz w:val="18"/>
          <w:szCs w:val="18"/>
          <w:color w:val="auto"/>
        </w:rPr>
        <w:t>1.64%</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8"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IA,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GAMCO Investors, Inc.</w:t>
      </w:r>
      <w:r>
        <w:rPr>
          <w:sz w:val="20"/>
          <w:szCs w:val="20"/>
          <w:color w:val="auto"/>
        </w:rPr>
        <w:tab/>
      </w:r>
      <w:r>
        <w:rPr>
          <w:rFonts w:ascii="Courier New" w:cs="Courier New" w:eastAsia="Courier New" w:hAnsi="Courier New"/>
          <w:sz w:val="16"/>
          <w:szCs w:val="16"/>
          <w:color w:val="auto"/>
        </w:rPr>
        <w:t>I.D. No. 13-2951242</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advisory clients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100" w:type="dxa"/>
            <w:vAlign w:val="bottom"/>
          </w:tcPr>
          <w:p>
            <w:pPr>
              <w:ind w:left="520"/>
              <w:spacing w:after="0" w:line="192" w:lineRule="exact"/>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1,174,603 (Item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1,175,800 (Item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8" w:lineRule="auto"/>
        <w:tabs>
          <w:tab w:leader="none" w:pos="5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1,175,800 (Item 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w w:val="96"/>
              </w:rPr>
              <w:t>(12) CHECK BOX IF THE</w:t>
            </w:r>
          </w:p>
        </w:tc>
        <w:tc>
          <w:tcPr>
            <w:tcW w:w="3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____</w:t>
            </w: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EXCLUDES CERTAIN</w:t>
            </w:r>
          </w:p>
        </w:tc>
        <w:tc>
          <w:tcPr>
            <w:tcW w:w="3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/___/</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8" w:lineRule="auto"/>
        <w:tabs>
          <w:tab w:leader="none" w:pos="5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4.37%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8" w:lineRule="auto"/>
        <w:tabs>
          <w:tab w:leader="none" w:pos="5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48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Gabelli Securities, Inc.</w:t>
      </w:r>
      <w:r>
        <w:rPr>
          <w:sz w:val="20"/>
          <w:szCs w:val="20"/>
          <w:color w:val="auto"/>
        </w:rPr>
        <w:tab/>
      </w:r>
      <w:r>
        <w:rPr>
          <w:rFonts w:ascii="Courier New" w:cs="Courier New" w:eastAsia="Courier New" w:hAnsi="Courier New"/>
          <w:sz w:val="16"/>
          <w:szCs w:val="16"/>
          <w:color w:val="auto"/>
        </w:rPr>
        <w:t>I.D. No. 13-3379374</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(b) /___/</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WC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640" w:right="5899" w:hanging="632"/>
        <w:spacing w:after="0" w:line="238" w:lineRule="auto"/>
        <w:tabs>
          <w:tab w:leader="none" w:pos="53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100" w:type="dxa"/>
            <w:vAlign w:val="bottom"/>
          </w:tcPr>
          <w:p>
            <w:pPr>
              <w:ind w:left="520"/>
              <w:spacing w:after="0" w:line="170" w:lineRule="exact"/>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2,500 (Item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640" w:right="3359" w:hanging="632"/>
        <w:spacing w:after="0" w:line="238" w:lineRule="auto"/>
        <w:tabs>
          <w:tab w:leader="none" w:pos="53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2,500 (Item 5)</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0" w:type="dxa"/>
        <w:tblCellMar>
          <w:top w:w="0" w:type="dxa"/>
          <w:left w:w="0" w:type="dxa"/>
          <w:bottom w:w="0" w:type="dxa"/>
          <w:right w:w="0" w:type="dxa"/>
        </w:tblCellMar>
      </w:tblPr>
      <w:tr>
        <w:trPr>
          <w:trHeight w:val="171"/>
        </w:trPr>
        <w:tc>
          <w:tcPr>
            <w:tcW w:w="22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6"/>
              </w:rPr>
              <w:t>(12) CHECK BOX IF THE</w:t>
            </w:r>
          </w:p>
        </w:tc>
        <w:tc>
          <w:tcPr>
            <w:tcW w:w="3420" w:type="dxa"/>
            <w:vAlign w:val="bottom"/>
          </w:tcPr>
          <w:p>
            <w:pPr>
              <w:ind w:left="40"/>
              <w:spacing w:after="0" w:line="170" w:lineRule="exact"/>
              <w:rPr>
                <w:sz w:val="20"/>
                <w:szCs w:val="20"/>
                <w:color w:val="auto"/>
              </w:rPr>
            </w:pPr>
            <w:r>
              <w:rPr>
                <w:rFonts w:ascii="Courier New" w:cs="Courier New" w:eastAsia="Courier New" w:hAnsi="Courier New"/>
                <w:sz w:val="18"/>
                <w:szCs w:val="18"/>
                <w:color w:val="auto"/>
              </w:rPr>
              <w:t>AGGREGATE AMOUNT IN ROW 11</w:t>
            </w: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_____</w:t>
            </w: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EXCLUDES CERTAIN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x /**</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640" w:right="4619" w:hanging="632"/>
        <w:spacing w:after="0" w:line="238" w:lineRule="auto"/>
        <w:tabs>
          <w:tab w:leader="none" w:pos="5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0.01%</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640" w:right="7059" w:hanging="632"/>
        <w:spacing w:after="0" w:line="238" w:lineRule="auto"/>
        <w:tabs>
          <w:tab w:leader="none" w:pos="5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420" w:hanging="412"/>
        <w:spacing w:after="0"/>
        <w:tabs>
          <w:tab w:leader="none" w:pos="4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stock owned beneficially by Gabelli &amp; Company and GLI.</w:t>
      </w:r>
    </w:p>
    <w:p>
      <w:pPr>
        <w:spacing w:after="0" w:line="21"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48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844895102</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Mario J. Gabelli</w:t>
      </w:r>
      <w:r>
        <w:rPr>
          <w:sz w:val="20"/>
          <w:szCs w:val="20"/>
          <w:color w:val="auto"/>
        </w:rPr>
        <w:tab/>
      </w:r>
      <w:r>
        <w:rPr>
          <w:rFonts w:ascii="Courier New" w:cs="Courier New" w:eastAsia="Courier New" w:hAnsi="Courier New"/>
          <w:sz w:val="16"/>
          <w:szCs w:val="16"/>
          <w:color w:val="auto"/>
        </w:rPr>
        <w:t>I.D. No. ###-##-####</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8" w:lineRule="auto"/>
        <w:tabs>
          <w:tab w:leader="none" w:pos="53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100" w:type="dxa"/>
            <w:vAlign w:val="bottom"/>
          </w:tcPr>
          <w:p>
            <w:pPr>
              <w:ind w:left="520"/>
              <w:spacing w:after="0" w:line="192" w:lineRule="exact"/>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(Item 5)</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3359"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22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6"/>
              </w:rPr>
              <w:t>(12) CHECK BOX IF THE</w:t>
            </w:r>
          </w:p>
        </w:tc>
        <w:tc>
          <w:tcPr>
            <w:tcW w:w="3420" w:type="dxa"/>
            <w:vAlign w:val="bottom"/>
          </w:tcPr>
          <w:p>
            <w:pPr>
              <w:ind w:left="40"/>
              <w:spacing w:after="0" w:line="192" w:lineRule="exact"/>
              <w:rPr>
                <w:sz w:val="20"/>
                <w:szCs w:val="20"/>
                <w:color w:val="auto"/>
              </w:rPr>
            </w:pPr>
            <w:r>
              <w:rPr>
                <w:rFonts w:ascii="Courier New" w:cs="Courier New" w:eastAsia="Courier New" w:hAnsi="Courier New"/>
                <w:sz w:val="18"/>
                <w:szCs w:val="18"/>
                <w:color w:val="auto"/>
              </w:rPr>
              <w:t>AGGREGATE AMOUNT IN ROW 11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_____</w:t>
            </w: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EXCLUDES CERTAIN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8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x /</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PERCENT OF CLASS REPRESENTED BY AMOUNT IN ROW 11</w:t>
      </w:r>
    </w:p>
    <w:p>
      <w:pPr>
        <w:ind w:left="640"/>
        <w:spacing w:after="0" w:line="238" w:lineRule="auto"/>
        <w:rPr>
          <w:sz w:val="20"/>
          <w:szCs w:val="20"/>
          <w:color w:val="auto"/>
        </w:rPr>
      </w:pPr>
      <w:r>
        <w:rPr>
          <w:rFonts w:ascii="Courier New" w:cs="Courier New" w:eastAsia="Courier New" w:hAnsi="Courier New"/>
          <w:sz w:val="18"/>
          <w:szCs w:val="18"/>
          <w:color w:val="auto"/>
        </w:rPr>
        <w:t>0.00%</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8" w:lineRule="auto"/>
        <w:tabs>
          <w:tab w:leader="none" w:pos="53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9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488" w:right="1440" w:bottom="1440" w:gutter="0" w:footer="0" w:header="0"/>
        </w:sectPr>
      </w:pPr>
    </w:p>
    <w:bookmarkStart w:id="5" w:name="page6"/>
    <w:bookmarkEnd w:id="5"/>
    <w:p>
      <w:pPr>
        <w:spacing w:after="0" w:line="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31" w:lineRule="exact"/>
        <w:rPr>
          <w:sz w:val="20"/>
          <w:szCs w:val="20"/>
          <w:color w:val="auto"/>
        </w:rPr>
      </w:pPr>
    </w:p>
    <w:p>
      <w:pPr>
        <w:ind w:right="3259" w:firstLine="1053"/>
        <w:spacing w:after="0" w:line="238" w:lineRule="auto"/>
        <w:rPr>
          <w:sz w:val="20"/>
          <w:szCs w:val="20"/>
          <w:color w:val="auto"/>
        </w:rPr>
      </w:pPr>
      <w:r>
        <w:rPr>
          <w:rFonts w:ascii="Courier New" w:cs="Courier New" w:eastAsia="Courier New" w:hAnsi="Courier New"/>
          <w:sz w:val="18"/>
          <w:szCs w:val="18"/>
          <w:color w:val="auto"/>
        </w:rPr>
        <w:t>This Amendment No. 1 to Schedule 13D on the Common Stock of Southwest Gas Corporation (the "Issuer") is being filed on behalf of the undersigned to amend the Schedule 13D, as amended (the "Schedule 13D") which was originally filed on February 7, 1997. Unless otherwise indicated, all capitalized terms used herein but not defined herein shall have the same meaning as set forth in the Schedule 13D.</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right="3159" w:firstLine="1053"/>
        <w:spacing w:after="0" w:line="270" w:lineRule="auto"/>
        <w:rPr>
          <w:sz w:val="20"/>
          <w:szCs w:val="20"/>
          <w:color w:val="auto"/>
        </w:rPr>
      </w:pPr>
      <w:r>
        <w:rPr>
          <w:rFonts w:ascii="Courier New" w:cs="Courier New" w:eastAsia="Courier New" w:hAnsi="Courier New"/>
          <w:sz w:val="16"/>
          <w:szCs w:val="16"/>
          <w:color w:val="auto"/>
        </w:rPr>
        <w:t>This statement is being filed by Mario J. Gabelli ("Mr. Gabelli") and various entities which he directly or indirectly controls or for which he acts as chief investment officer. These entities, except for Lynch Corporation ("Lynch"), Spinnaker Industries, Incorporated ("Spinnaker"), Western New Mexico Telephone Company ("Western New Mexico"), Entoleter, Inc. ("Entole-ter"), Lynch Telecommunications Corporation ("Lynch Telecom"), Lynch Telephone Corporation ("Lynch Telephone") and Inter-Community Telephone Company ("Inter-Community") (collectively, "Lynch and its affiliates"),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184"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13D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6" w:lineRule="exact"/>
        <w:rPr>
          <w:sz w:val="20"/>
          <w:szCs w:val="20"/>
          <w:color w:val="auto"/>
        </w:rPr>
      </w:pPr>
    </w:p>
    <w:p>
      <w:pPr>
        <w:ind w:right="3159" w:firstLine="1053"/>
        <w:spacing w:after="0" w:line="270" w:lineRule="auto"/>
        <w:rPr>
          <w:sz w:val="20"/>
          <w:szCs w:val="20"/>
          <w:color w:val="auto"/>
        </w:rPr>
      </w:pPr>
      <w:r>
        <w:rPr>
          <w:rFonts w:ascii="Courier New" w:cs="Courier New" w:eastAsia="Courier New" w:hAnsi="Courier New"/>
          <w:sz w:val="16"/>
          <w:szCs w:val="16"/>
          <w:color w:val="auto"/>
        </w:rPr>
        <w:t>(a), (b) and (c) - This statement is being filed by one or more of the following persons: Gabelli Funds, Inc. ("GFI"), GAMCO Investors, Inc. ("GAMCO"), Gabelli Securities, Inc. ("GSI"), Gabelli &amp; Company, Inc. ("Gabelli &amp; Company"), Gabelli Performance Partnership L.P. ("GPP"), GLI, Inc. ("GLI"), Gabelli Associates Fund ("Gabelli Associates"), Gabelli Associates Limited ("GAL"), Gabelli &amp; Company, Inc. Profit Sharing Plan (the "Plan"), Gabelli International Limited ("GIL"), Gabelli International II Limited ("GIL II"), Gabelli International Gold Fund Limited ("GIGFL"), ALCE Partners, L.P. ("ALCE"), Gabelli Multimedia Partners, L.P. ("Multimedia Partners"), Gabelli Asset Management Company Interna-tional Advisory Services Ltd. ("GIASL"),Gabelli Foundation, Inc. ("Foundation"), Mr. Gabelli, Lynch, Spinnaker, Western New Mexico, Entoleter, Lynch Telecom, Lynch Telephone and Inter-Community. Those of the foregoing persons signing this Schedule 13D are hereafter referred to as the "Reporting Persons".</w:t>
      </w:r>
    </w:p>
    <w:p>
      <w:pPr>
        <w:spacing w:after="0" w:line="183"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GAMCO, a wholly-owned subsidiary of GFI, is an investment adviser registered under the Investment Advisers Act of 1940, as amended ("Advisers Act"). GAMCO is an investment manager providing discretionary managed account services in the equity area for employee benefit plans, private investors, endowments and founda-tions.</w:t>
      </w:r>
    </w:p>
    <w:p>
      <w:pPr>
        <w:spacing w:after="0" w:line="2" w:lineRule="exact"/>
        <w:rPr>
          <w:sz w:val="20"/>
          <w:szCs w:val="20"/>
          <w:color w:val="auto"/>
        </w:rPr>
      </w:pPr>
    </w:p>
    <w:p>
      <w:pPr>
        <w:ind w:right="3359" w:firstLine="1053"/>
        <w:spacing w:after="0" w:line="268" w:lineRule="auto"/>
        <w:rPr>
          <w:sz w:val="20"/>
          <w:szCs w:val="20"/>
          <w:color w:val="auto"/>
        </w:rPr>
      </w:pPr>
      <w:r>
        <w:rPr>
          <w:rFonts w:ascii="Courier New" w:cs="Courier New" w:eastAsia="Courier New" w:hAnsi="Courier New"/>
          <w:sz w:val="16"/>
          <w:szCs w:val="16"/>
          <w:color w:val="auto"/>
        </w:rPr>
        <w:t>Gabelli &amp; Company, a wholly-owned subsidiary of GSI, is a broker-dealer registered under the Securities Exchange Act of 1934, as amended ("l934 Act"), which as a part of its business regularly purchases and sells securities for its own account.</w:t>
      </w:r>
    </w:p>
    <w:p>
      <w:pPr>
        <w:spacing w:after="0" w:line="1"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GLI, a wholly-owned subsidiary of GSI, is the trustee for the Gabelli-Rosenthal &amp; Partners, L.P. Liquidating Trust.</w:t>
      </w:r>
    </w:p>
    <w:p>
      <w:pPr>
        <w:spacing w:after="0" w:line="1" w:lineRule="exact"/>
        <w:rPr>
          <w:sz w:val="20"/>
          <w:szCs w:val="20"/>
          <w:color w:val="auto"/>
        </w:rPr>
      </w:pPr>
    </w:p>
    <w:p>
      <w:pPr>
        <w:ind w:right="3259" w:firstLine="1053"/>
        <w:spacing w:after="0" w:line="268" w:lineRule="auto"/>
        <w:rPr>
          <w:sz w:val="20"/>
          <w:szCs w:val="20"/>
          <w:color w:val="auto"/>
        </w:rPr>
      </w:pPr>
      <w:r>
        <w:rPr>
          <w:rFonts w:ascii="Courier New" w:cs="Courier New" w:eastAsia="Courier New" w:hAnsi="Courier New"/>
          <w:sz w:val="16"/>
          <w:szCs w:val="16"/>
          <w:color w:val="auto"/>
        </w:rPr>
        <w:t>Gabelli Associates is a New York limited partnership whose primary business purpose is risk arbitrage investments. GSI and Mr. Gabelli are the general partners of Gabelli Associates.</w:t>
      </w:r>
    </w:p>
    <w:p>
      <w:pPr>
        <w:spacing w:after="0" w:line="1"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GAL is a corporation whose primary business purpose is risk arbitrage investments. Shares of GAL's Common Stock will be offered to persons who are neither citizens nor residents of the United States and may be offered to a limited number of U.S. investors. GSI is the investment manager of GAL.</w:t>
      </w:r>
    </w:p>
    <w:p>
      <w:pPr>
        <w:spacing w:after="0" w:line="2" w:lineRule="exact"/>
        <w:rPr>
          <w:sz w:val="20"/>
          <w:szCs w:val="20"/>
          <w:color w:val="auto"/>
        </w:rPr>
      </w:pPr>
    </w:p>
    <w:p>
      <w:pPr>
        <w:ind w:right="3159" w:firstLine="1053"/>
        <w:spacing w:after="0" w:line="323" w:lineRule="auto"/>
        <w:rPr>
          <w:sz w:val="20"/>
          <w:szCs w:val="20"/>
          <w:color w:val="auto"/>
        </w:rPr>
      </w:pPr>
      <w:r>
        <w:rPr>
          <w:rFonts w:ascii="Courier New" w:cs="Courier New" w:eastAsia="Courier New" w:hAnsi="Courier New"/>
          <w:sz w:val="16"/>
          <w:szCs w:val="16"/>
          <w:color w:val="auto"/>
        </w:rPr>
        <w:t>GSI, a majority-owned subsidiary of GFI, is a Delaware corporation which as a part of its business regularly purchases and sells securities for its own account. It is the immediate parent</w:t>
      </w:r>
    </w:p>
    <w:p>
      <w:pPr>
        <w:sectPr>
          <w:pgSz w:w="11900" w:h="16848" w:orient="portrait"/>
          <w:cols w:equalWidth="0" w:num="1">
            <w:col w:w="10219"/>
          </w:cols>
          <w:pgMar w:left="240" w:top="488"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of Gabelli &amp; Company.</w:t>
      </w:r>
    </w:p>
    <w:p>
      <w:pPr>
        <w:spacing w:after="0" w:line="31" w:lineRule="exact"/>
        <w:rPr>
          <w:sz w:val="20"/>
          <w:szCs w:val="20"/>
          <w:color w:val="auto"/>
        </w:rPr>
      </w:pPr>
    </w:p>
    <w:p>
      <w:pPr>
        <w:ind w:right="3259" w:firstLine="1053"/>
        <w:spacing w:after="0" w:line="238" w:lineRule="auto"/>
        <w:rPr>
          <w:sz w:val="20"/>
          <w:szCs w:val="20"/>
          <w:color w:val="auto"/>
        </w:rPr>
      </w:pPr>
      <w:r>
        <w:rPr>
          <w:rFonts w:ascii="Courier New" w:cs="Courier New" w:eastAsia="Courier New" w:hAnsi="Courier New"/>
          <w:sz w:val="18"/>
          <w:szCs w:val="18"/>
          <w:color w:val="auto"/>
        </w:rPr>
        <w:t>GFI is the ultimate parent company for a variety of companies engaged in the securities business, each of which is named above. In addition, GFI is an investment adviser registered under the Advisers Act. GFI is an investment adviser which presently provides discretionary managed account services for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and The Gabelli Global Interactive Couch Potato Fund (collectively, the "Funds"), which are registered investment companies.</w:t>
      </w:r>
    </w:p>
    <w:p>
      <w:pPr>
        <w:spacing w:after="0" w:line="6" w:lineRule="exact"/>
        <w:rPr>
          <w:sz w:val="20"/>
          <w:szCs w:val="20"/>
          <w:color w:val="auto"/>
        </w:rPr>
      </w:pPr>
    </w:p>
    <w:p>
      <w:pPr>
        <w:jc w:val="both"/>
        <w:ind w:right="3779" w:firstLine="1053"/>
        <w:spacing w:after="0" w:line="268" w:lineRule="auto"/>
        <w:rPr>
          <w:sz w:val="20"/>
          <w:szCs w:val="20"/>
          <w:color w:val="auto"/>
        </w:rPr>
      </w:pPr>
      <w:r>
        <w:rPr>
          <w:rFonts w:ascii="Courier New" w:cs="Courier New" w:eastAsia="Courier New" w:hAnsi="Courier New"/>
          <w:sz w:val="16"/>
          <w:szCs w:val="16"/>
          <w:color w:val="auto"/>
        </w:rPr>
        <w:t>The Plan, a qualified employee profit sharing plan, covers substantially all employees of GFI and its affiliates.</w:t>
      </w:r>
    </w:p>
    <w:p>
      <w:pPr>
        <w:ind w:right="3359" w:firstLine="1053"/>
        <w:spacing w:after="0" w:line="238" w:lineRule="auto"/>
        <w:rPr>
          <w:sz w:val="20"/>
          <w:szCs w:val="20"/>
          <w:color w:val="auto"/>
        </w:rPr>
      </w:pPr>
      <w:r>
        <w:rPr>
          <w:rFonts w:ascii="Courier New" w:cs="Courier New" w:eastAsia="Courier New" w:hAnsi="Courier New"/>
          <w:sz w:val="18"/>
          <w:szCs w:val="18"/>
          <w:color w:val="auto"/>
        </w:rPr>
        <w:t>GPP, a Delaware limited partnership, is a limited partnership whose primary business purpose is investing in securities. Mr. Gabelli is the general partner and chief invest-ment officer of GPP.</w:t>
      </w:r>
    </w:p>
    <w:p>
      <w:pPr>
        <w:spacing w:after="0" w:line="1"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 objective of significant long-term growth of capital. Shares of GIL's common stock are offered to persons who are neither citizens nor residents of the United States and may be offered to a limited number of U.S. investors. The investments of GIL are managed by Mr. Gabelli who is also a director and Chairman of the Board of Directors of GIL.</w:t>
      </w:r>
    </w:p>
    <w:p>
      <w:pPr>
        <w:spacing w:after="0" w:line="3"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The investments of GIL II are managed by Mr. Gabelli who is also a director and Chairman of the Board of Directors of GIL II.</w:t>
      </w:r>
    </w:p>
    <w:p>
      <w:pPr>
        <w:spacing w:after="0" w:line="4" w:lineRule="exact"/>
        <w:rPr>
          <w:sz w:val="20"/>
          <w:szCs w:val="20"/>
          <w:color w:val="auto"/>
        </w:rPr>
      </w:pPr>
    </w:p>
    <w:p>
      <w:pPr>
        <w:ind w:right="3159" w:firstLine="737"/>
        <w:spacing w:after="0" w:line="238" w:lineRule="auto"/>
        <w:rPr>
          <w:sz w:val="20"/>
          <w:szCs w:val="20"/>
          <w:color w:val="auto"/>
        </w:rPr>
      </w:pPr>
      <w:r>
        <w:rPr>
          <w:rFonts w:ascii="Courier New" w:cs="Courier New" w:eastAsia="Courier New" w:hAnsi="Courier New"/>
          <w:sz w:val="18"/>
          <w:szCs w:val="18"/>
          <w:color w:val="auto"/>
        </w:rPr>
        <w:t>ALCE is a Delaware investment limited partnership that seeks long-term capital appreciation primarily through investments in public and private equity securities. GSI is a general partner of ALCE.</w:t>
      </w:r>
    </w:p>
    <w:p>
      <w:pPr>
        <w:spacing w:after="0" w:line="1" w:lineRule="exact"/>
        <w:rPr>
          <w:sz w:val="20"/>
          <w:szCs w:val="20"/>
          <w:color w:val="auto"/>
        </w:rPr>
      </w:pPr>
    </w:p>
    <w:p>
      <w:pPr>
        <w:ind w:right="3259" w:firstLine="737"/>
        <w:spacing w:after="0" w:line="238" w:lineRule="auto"/>
        <w:rPr>
          <w:sz w:val="20"/>
          <w:szCs w:val="20"/>
          <w:color w:val="auto"/>
        </w:rPr>
      </w:pPr>
      <w:r>
        <w:rPr>
          <w:rFonts w:ascii="Courier New" w:cs="Courier New" w:eastAsia="Courier New" w:hAnsi="Courier New"/>
          <w:sz w:val="18"/>
          <w:szCs w:val="18"/>
          <w:color w:val="auto"/>
        </w:rPr>
        <w:t>Multimedia Partners is a Delaware investment limited partnership whose objective is to provide long-term capital appreciation by investing primarily in public and private multime-dia communications companies. GSI is a general partner of Multimedia Partners.</w:t>
      </w:r>
    </w:p>
    <w:p>
      <w:pPr>
        <w:spacing w:after="0" w:line="2" w:lineRule="exact"/>
        <w:rPr>
          <w:sz w:val="20"/>
          <w:szCs w:val="20"/>
          <w:color w:val="auto"/>
        </w:rPr>
      </w:pPr>
    </w:p>
    <w:p>
      <w:pPr>
        <w:ind w:right="3259" w:firstLine="737"/>
        <w:spacing w:after="0" w:line="238" w:lineRule="auto"/>
        <w:rPr>
          <w:sz w:val="20"/>
          <w:szCs w:val="20"/>
          <w:color w:val="auto"/>
        </w:rPr>
      </w:pPr>
      <w:r>
        <w:rPr>
          <w:rFonts w:ascii="Courier New" w:cs="Courier New" w:eastAsia="Courier New" w:hAnsi="Courier New"/>
          <w:sz w:val="18"/>
          <w:szCs w:val="18"/>
          <w:color w:val="auto"/>
        </w:rPr>
        <w:t>GIASL is a corporation whose primary business purpose is to provide advisory services to offshore funds.</w:t>
      </w:r>
    </w:p>
    <w:p>
      <w:pPr>
        <w:spacing w:after="0" w:line="1" w:lineRule="exact"/>
        <w:rPr>
          <w:sz w:val="20"/>
          <w:szCs w:val="20"/>
          <w:color w:val="auto"/>
        </w:rPr>
      </w:pPr>
    </w:p>
    <w:p>
      <w:pPr>
        <w:ind w:right="3259" w:firstLine="737"/>
        <w:spacing w:after="0" w:line="268" w:lineRule="auto"/>
        <w:rPr>
          <w:sz w:val="20"/>
          <w:szCs w:val="20"/>
          <w:color w:val="auto"/>
        </w:rPr>
      </w:pPr>
      <w:r>
        <w:rPr>
          <w:rFonts w:ascii="Courier New" w:cs="Courier New" w:eastAsia="Courier New" w:hAnsi="Courier New"/>
          <w:sz w:val="16"/>
          <w:szCs w:val="16"/>
          <w:color w:val="auto"/>
        </w:rPr>
        <w:t>The Foundation is a private foundation. Mr. Gabelli is the President, a Trustee and the Investment Manager of the Foundation.</w:t>
      </w:r>
    </w:p>
    <w:p>
      <w:pPr>
        <w:ind w:right="3159" w:firstLine="737"/>
        <w:spacing w:after="0" w:line="238" w:lineRule="auto"/>
        <w:rPr>
          <w:sz w:val="20"/>
          <w:szCs w:val="20"/>
          <w:color w:val="auto"/>
        </w:rPr>
      </w:pPr>
      <w:r>
        <w:rPr>
          <w:rFonts w:ascii="Courier New" w:cs="Courier New" w:eastAsia="Courier New" w:hAnsi="Courier New"/>
          <w:sz w:val="18"/>
          <w:szCs w:val="18"/>
          <w:color w:val="auto"/>
        </w:rPr>
        <w:t>Lynch, an Indiana corporation, is a diversified public company traded on the American Stock Exchange. Its subsidiaries are engaged in communications, services, and manufactured products. Spinnaker, a Delaware subsidiary of Lynch, is also a public company and its stock is traded through the NASDAQ System. Spinnaker is a diversified manufacturing firm with major subsidiaries in specialty adhesive-backed materials business. Another of Lynch's subsidiar-ies, Western New Mexico, provides telephone services in a service area in Southwestern New Mexico. Inter-Community, which is also a subsidiary of Lynch, provides local telephone services in an area 40 miles west of Fargo, North Dakota. Lynch and Spinnaker actively pursue new business ventures and acquisitions. Lynch and its affiliates make investments in marketable securities to preserve capital and maintain liquidity for financing their business activities and acquisitions (not in the case of Western New Mexico) and are not engaged in the business of investing, reinvesting, or trading in securities. Mr. Gabelli is Chairman of Lynch and owns beneficially 23.52% of the shares of common stock of Lynch.</w:t>
      </w:r>
    </w:p>
    <w:p>
      <w:pPr>
        <w:spacing w:after="0" w:line="7" w:lineRule="exact"/>
        <w:rPr>
          <w:sz w:val="20"/>
          <w:szCs w:val="20"/>
          <w:color w:val="auto"/>
        </w:rPr>
      </w:pPr>
    </w:p>
    <w:p>
      <w:pPr>
        <w:ind w:right="3359" w:firstLine="1053"/>
        <w:spacing w:after="0" w:line="238" w:lineRule="auto"/>
        <w:rPr>
          <w:sz w:val="20"/>
          <w:szCs w:val="20"/>
          <w:color w:val="auto"/>
        </w:rPr>
      </w:pPr>
      <w:r>
        <w:rPr>
          <w:rFonts w:ascii="Courier New" w:cs="Courier New" w:eastAsia="Courier New" w:hAnsi="Courier New"/>
          <w:sz w:val="18"/>
          <w:szCs w:val="18"/>
          <w:color w:val="auto"/>
        </w:rPr>
        <w:t>Mr. Gabelli is the majority stockholder and Chairman of the Board of Directors and Chief Executive Officer of GFI and the Chief Investment Officer for each of the Reporting Persons other than GIASL. GFI, in turn, is the sole stockholder of GAMCO. GFI is also the majority stockholder of GSI. Gabelli &amp; Company is a wholly-owned subsidiary of GSI. GLI is a wholly-owned subsidiary of GSI.</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Reporting Persons do not admit that they constitute</w:t>
      </w:r>
    </w:p>
    <w:p>
      <w:pPr>
        <w:sectPr>
          <w:pgSz w:w="11900" w:h="16838" w:orient="portrait"/>
          <w:cols w:equalWidth="0" w:num="1">
            <w:col w:w="10219"/>
          </w:cols>
          <w:pgMar w:left="240" w:top="110"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a group.</w:t>
      </w:r>
    </w:p>
    <w:p>
      <w:pPr>
        <w:spacing w:after="0" w:line="31"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GFI, GAMCO, Gabelli &amp; Company and GLI are New York corporations and GSI is a Delaware corporation, each having its principal business office at One Corporate Center, Rye, New York 10580-1434. GPP is a Delaware limited partnership having its principal business office at 8 Sound Shore Drive, Greenwich, Connecticut 06830. Gabelli Associates is a New York limited partnership having its principal business office at One Corporate Center, Rye, New York 10580-1434. GAL and GIL are corporations organized under the laws of the British Virgin Islands having their principal business office at c/o MeesPierson (Cayman) Limited, British American Centre, Dr. Roy's Drive-Phase 3, George Town, Grand Cayman, British West Indies. GIL II is a corporation organized under the laws of the British Virgin Islands having their principal business office at c/o Coutts &amp; Company (Cayman) Limited, West Bay Road, Grand Cayman, British West Indies. GIASL is a Bermuda corporation with its principal business office at c/o Appleby, Spurling &amp; Kempe, Cedar House, 41 Cedar Avenue, Hamilton HM12, Bermuda. The Foundation is a private foundation having its principal offices at 165 West Liberty Street, Reno, Nevada 89501. Lynch is an Indiana corporation having its principal business office at 8 Sound Shore Drive, Greenwich, CT 06830. Spinnaker is a Delaware corporation having its principal business office at 251 Welton Street, Hamden, CT 06511.</w:t>
      </w:r>
    </w:p>
    <w:p>
      <w:pPr>
        <w:spacing w:after="0" w:line="8" w:lineRule="exact"/>
        <w:rPr>
          <w:sz w:val="20"/>
          <w:szCs w:val="20"/>
          <w:color w:val="auto"/>
        </w:rPr>
      </w:pPr>
    </w:p>
    <w:p>
      <w:pPr>
        <w:ind w:right="3159" w:firstLine="1053"/>
        <w:spacing w:after="0" w:line="238" w:lineRule="auto"/>
        <w:rPr>
          <w:sz w:val="20"/>
          <w:szCs w:val="20"/>
          <w:color w:val="auto"/>
        </w:rPr>
      </w:pPr>
      <w:r>
        <w:rPr>
          <w:rFonts w:ascii="Courier New" w:cs="Courier New" w:eastAsia="Courier New" w:hAnsi="Courier New"/>
          <w:sz w:val="18"/>
          <w:szCs w:val="18"/>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spacing w:after="0" w:line="2" w:lineRule="exact"/>
        <w:rPr>
          <w:sz w:val="20"/>
          <w:szCs w:val="20"/>
          <w:color w:val="auto"/>
        </w:rPr>
      </w:pPr>
    </w:p>
    <w:p>
      <w:pPr>
        <w:ind w:right="3159" w:firstLine="1061"/>
        <w:spacing w:after="0" w:line="268" w:lineRule="auto"/>
        <w:tabs>
          <w:tab w:leader="none" w:pos="1475"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(e) - On December 8, 1994, the SEC instituted and simultaneously accepted offers for the settlement of an administrative proceeding against Gabelli &amp; Company and GAMCO. The order instituting the proceeding included a finding, which Gabelli</w:t>
      </w:r>
    </w:p>
    <w:p>
      <w:pPr>
        <w:ind w:right="3159" w:firstLine="8"/>
        <w:spacing w:after="0" w:line="238" w:lineRule="auto"/>
        <w:tabs>
          <w:tab w:leader="none" w:pos="21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GAMCO neither admitted nor denied, that they failed to implement and maintain policies and procedures reasonably designed to prevent the misuse of material, nonpublic information by not sepecifically addressing the special circumstances that arose from their affiliation with Lynch Corporation, a public company. To resolve this matter, Gabelli &amp; Company and GAMCO agreed to cease and desist from violating Section 15(f) of the 1934 Act and Section 204A of the Advisers Act, respectively. They further agreed to each pay a civil penalty in the amount of $50,000, and to retain, and adopt the recommendations of, an independant consultant regarding their Section 15(f) and Section 204A policies and procedures.</w:t>
      </w:r>
    </w:p>
    <w:p>
      <w:pPr>
        <w:spacing w:after="0" w:line="4"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is made to Schedule I hereto.</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ind w:left="1060"/>
        <w:spacing w:after="0"/>
        <w:rPr>
          <w:sz w:val="20"/>
          <w:szCs w:val="20"/>
          <w:color w:val="auto"/>
        </w:rPr>
      </w:pPr>
      <w:r>
        <w:rPr>
          <w:rFonts w:ascii="Courier New" w:cs="Courier New" w:eastAsia="Courier New" w:hAnsi="Courier New"/>
          <w:sz w:val="16"/>
          <w:szCs w:val="16"/>
          <w:color w:val="auto"/>
        </w:rPr>
        <w:t>Item 3 to Schedule 13D is amended, in pertinent part, 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ind w:left="1060"/>
        <w:spacing w:after="0"/>
        <w:rPr>
          <w:sz w:val="20"/>
          <w:szCs w:val="20"/>
          <w:color w:val="auto"/>
        </w:rPr>
      </w:pPr>
      <w:r>
        <w:rPr>
          <w:rFonts w:ascii="Courier New" w:cs="Courier New" w:eastAsia="Courier New" w:hAnsi="Courier New"/>
          <w:sz w:val="16"/>
          <w:szCs w:val="16"/>
          <w:color w:val="auto"/>
        </w:rPr>
        <w:t>All Reporting Persons used an aggregate of approximately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$5,260,245 to purchase the additional Securities requiring this</w:t>
      </w:r>
    </w:p>
    <w:p>
      <w:pPr>
        <w:spacing w:after="0"/>
        <w:tabs>
          <w:tab w:leader="none" w:pos="3040" w:val="left"/>
        </w:tabs>
        <w:rPr>
          <w:sz w:val="20"/>
          <w:szCs w:val="20"/>
          <w:color w:val="auto"/>
        </w:rPr>
      </w:pPr>
      <w:r>
        <w:rPr>
          <w:rFonts w:ascii="Courier New" w:cs="Courier New" w:eastAsia="Courier New" w:hAnsi="Courier New"/>
          <w:sz w:val="18"/>
          <w:szCs w:val="18"/>
          <w:color w:val="auto"/>
        </w:rPr>
        <w:t>Amendment to Schedule 13D.</w:t>
      </w:r>
      <w:r>
        <w:rPr>
          <w:sz w:val="20"/>
          <w:szCs w:val="20"/>
          <w:color w:val="auto"/>
        </w:rPr>
        <w:tab/>
      </w:r>
      <w:r>
        <w:rPr>
          <w:rFonts w:ascii="Courier New" w:cs="Courier New" w:eastAsia="Courier New" w:hAnsi="Courier New"/>
          <w:sz w:val="16"/>
          <w:szCs w:val="16"/>
          <w:color w:val="auto"/>
        </w:rPr>
        <w:t>GAMCO and GFI used approximately</w:t>
      </w:r>
    </w:p>
    <w:p>
      <w:pPr>
        <w:spacing w:after="0"/>
        <w:rPr>
          <w:sz w:val="20"/>
          <w:szCs w:val="20"/>
          <w:color w:val="auto"/>
        </w:rPr>
      </w:pPr>
      <w:r>
        <w:rPr>
          <w:rFonts w:ascii="Courier New" w:cs="Courier New" w:eastAsia="Courier New" w:hAnsi="Courier New"/>
          <w:sz w:val="16"/>
          <w:szCs w:val="16"/>
          <w:color w:val="auto"/>
        </w:rPr>
        <w:t>$4,339,956 and $920,289, respectively, of funds that were provided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the accounts of certain of their investment advisory</w:t>
      </w:r>
    </w:p>
    <w:p>
      <w:pPr>
        <w:spacing w:after="0"/>
        <w:rPr>
          <w:sz w:val="20"/>
          <w:szCs w:val="20"/>
          <w:color w:val="auto"/>
        </w:rPr>
      </w:pPr>
      <w:r>
        <w:rPr>
          <w:rFonts w:ascii="Courier New" w:cs="Courier New" w:eastAsia="Courier New" w:hAnsi="Courier New"/>
          <w:sz w:val="16"/>
          <w:szCs w:val="16"/>
          <w:color w:val="auto"/>
        </w:rPr>
        <w:t>clients (and, in the case of some of such accounts at GAMCO, may be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borrowings from client margin accounts) in order to</w:t>
      </w:r>
    </w:p>
    <w:p>
      <w:pPr>
        <w:spacing w:after="0" w:line="238" w:lineRule="auto"/>
        <w:rPr>
          <w:sz w:val="20"/>
          <w:szCs w:val="20"/>
          <w:color w:val="auto"/>
        </w:rPr>
      </w:pPr>
      <w:r>
        <w:rPr>
          <w:rFonts w:ascii="Courier New" w:cs="Courier New" w:eastAsia="Courier New" w:hAnsi="Courier New"/>
          <w:sz w:val="18"/>
          <w:szCs w:val="18"/>
          <w:color w:val="auto"/>
        </w:rPr>
        <w:t>purchase the additional Securities for such clients.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1060"/>
        <w:spacing w:after="0"/>
        <w:rPr>
          <w:sz w:val="20"/>
          <w:szCs w:val="20"/>
          <w:color w:val="auto"/>
        </w:rPr>
      </w:pPr>
      <w:r>
        <w:rPr>
          <w:rFonts w:ascii="Courier New" w:cs="Courier New" w:eastAsia="Courier New" w:hAnsi="Courier New"/>
          <w:sz w:val="16"/>
          <w:szCs w:val="16"/>
          <w:color w:val="auto"/>
        </w:rPr>
        <w:t>Item 5 to Schedule 13D is amended, in pertinent part, 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follows:</w:t>
      </w:r>
    </w:p>
    <w:p>
      <w:pPr>
        <w:ind w:right="3159" w:firstLine="1061"/>
        <w:spacing w:after="0" w:line="238"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number and percentage of Securities to which this Schedule 13D relates is 1,618,300 shares, representing 6.02% of the 26,901,106 shares outstanding as reported in the Issuer's most recently filed Form 10-K for the fiscal year ended December 31, 1996. The Reporting Persons beneficially own those Securities as follows:</w:t>
      </w: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20" w:type="dxa"/>
            <w:vAlign w:val="bottom"/>
          </w:tcPr>
          <w:p>
            <w:pPr>
              <w:ind w:left="880"/>
              <w:spacing w:after="0" w:line="173" w:lineRule="exact"/>
              <w:rPr>
                <w:sz w:val="20"/>
                <w:szCs w:val="20"/>
                <w:color w:val="auto"/>
              </w:rPr>
            </w:pPr>
            <w:r>
              <w:rPr>
                <w:rFonts w:ascii="Courier New" w:cs="Courier New" w:eastAsia="Courier New" w:hAnsi="Courier New"/>
                <w:sz w:val="18"/>
                <w:szCs w:val="18"/>
                <w:color w:val="auto"/>
              </w:rPr>
              <w:t>Shares of</w:t>
            </w:r>
          </w:p>
        </w:tc>
        <w:tc>
          <w:tcPr>
            <w:tcW w:w="1520" w:type="dxa"/>
            <w:vAlign w:val="bottom"/>
          </w:tcPr>
          <w:p>
            <w:pPr>
              <w:ind w:left="580"/>
              <w:spacing w:after="0" w:line="173" w:lineRule="exact"/>
              <w:rPr>
                <w:sz w:val="20"/>
                <w:szCs w:val="20"/>
                <w:color w:val="auto"/>
              </w:rPr>
            </w:pPr>
            <w:r>
              <w:rPr>
                <w:rFonts w:ascii="Courier New" w:cs="Courier New" w:eastAsia="Courier New" w:hAnsi="Courier New"/>
                <w:sz w:val="18"/>
                <w:szCs w:val="18"/>
                <w:color w:val="auto"/>
              </w:rPr>
              <w:t>% of</w:t>
            </w:r>
          </w:p>
        </w:tc>
        <w:tc>
          <w:tcPr>
            <w:tcW w:w="0" w:type="dxa"/>
            <w:vAlign w:val="bottom"/>
          </w:tcPr>
          <w:p>
            <w:pPr>
              <w:spacing w:after="0"/>
              <w:rPr>
                <w:sz w:val="1"/>
                <w:szCs w:val="1"/>
                <w:color w:val="auto"/>
              </w:rPr>
            </w:pPr>
          </w:p>
        </w:tc>
      </w:tr>
      <w:tr>
        <w:trPr>
          <w:trHeight w:val="203"/>
        </w:trPr>
        <w:tc>
          <w:tcPr>
            <w:tcW w:w="48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1800" w:type="dxa"/>
            <w:vAlign w:val="bottom"/>
          </w:tcPr>
          <w:p>
            <w:pPr>
              <w:spacing w:after="0"/>
              <w:rPr>
                <w:sz w:val="17"/>
                <w:szCs w:val="17"/>
                <w:color w:val="auto"/>
              </w:rPr>
            </w:pPr>
          </w:p>
        </w:tc>
        <w:tc>
          <w:tcPr>
            <w:tcW w:w="242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Common</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Class of</w:t>
            </w:r>
          </w:p>
        </w:tc>
        <w:tc>
          <w:tcPr>
            <w:tcW w:w="0" w:type="dxa"/>
            <w:vAlign w:val="bottom"/>
          </w:tcPr>
          <w:p>
            <w:pPr>
              <w:spacing w:after="0"/>
              <w:rPr>
                <w:sz w:val="1"/>
                <w:szCs w:val="1"/>
                <w:color w:val="auto"/>
              </w:rPr>
            </w:pPr>
          </w:p>
        </w:tc>
      </w:tr>
      <w:tr>
        <w:trPr>
          <w:trHeight w:val="296"/>
        </w:trPr>
        <w:tc>
          <w:tcPr>
            <w:tcW w:w="48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420" w:type="dxa"/>
            <w:vAlign w:val="bottom"/>
          </w:tcPr>
          <w:p>
            <w:pPr>
              <w:ind w:left="880"/>
              <w:spacing w:after="0"/>
              <w:rPr>
                <w:sz w:val="20"/>
                <w:szCs w:val="20"/>
                <w:color w:val="auto"/>
              </w:rPr>
            </w:pPr>
            <w:r>
              <w:rPr>
                <w:rFonts w:ascii="Courier New" w:cs="Courier New" w:eastAsia="Courier New" w:hAnsi="Courier New"/>
                <w:sz w:val="18"/>
                <w:szCs w:val="18"/>
                <w:color w:val="auto"/>
              </w:rPr>
              <w:t>Stock</w:t>
            </w:r>
          </w:p>
        </w:tc>
        <w:tc>
          <w:tcPr>
            <w:tcW w:w="1520" w:type="dxa"/>
            <w:vAlign w:val="bottom"/>
          </w:tcPr>
          <w:p>
            <w:pPr>
              <w:ind w:left="580"/>
              <w:spacing w:after="0"/>
              <w:rPr>
                <w:sz w:val="20"/>
                <w:szCs w:val="20"/>
                <w:color w:val="auto"/>
              </w:rPr>
            </w:pPr>
            <w:r>
              <w:rPr>
                <w:rFonts w:ascii="Courier New" w:cs="Courier New" w:eastAsia="Courier New" w:hAnsi="Courier New"/>
                <w:sz w:val="18"/>
                <w:szCs w:val="18"/>
                <w:color w:val="auto"/>
              </w:rPr>
              <w:t>Common</w:t>
            </w:r>
          </w:p>
        </w:tc>
        <w:tc>
          <w:tcPr>
            <w:tcW w:w="0" w:type="dxa"/>
            <w:vAlign w:val="bottom"/>
          </w:tcPr>
          <w:p>
            <w:pPr>
              <w:spacing w:after="0"/>
              <w:rPr>
                <w:sz w:val="1"/>
                <w:szCs w:val="1"/>
                <w:color w:val="auto"/>
              </w:rPr>
            </w:pPr>
          </w:p>
        </w:tc>
      </w:tr>
      <w:tr>
        <w:trPr>
          <w:trHeight w:val="311"/>
        </w:trPr>
        <w:tc>
          <w:tcPr>
            <w:tcW w:w="480" w:type="dxa"/>
            <w:vAlign w:val="bottom"/>
          </w:tcPr>
          <w:p>
            <w:pPr>
              <w:spacing w:after="0"/>
              <w:rPr>
                <w:sz w:val="20"/>
                <w:szCs w:val="20"/>
                <w:color w:val="auto"/>
              </w:rPr>
            </w:pPr>
            <w:r>
              <w:rPr>
                <w:rFonts w:ascii="Courier New" w:cs="Courier New" w:eastAsia="Courier New" w:hAnsi="Courier New"/>
                <w:sz w:val="18"/>
                <w:szCs w:val="18"/>
                <w:color w:val="auto"/>
              </w:rPr>
              <w:t>GFI:</w:t>
            </w:r>
          </w:p>
        </w:tc>
        <w:tc>
          <w:tcPr>
            <w:tcW w:w="18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Principal</w:t>
            </w:r>
          </w:p>
        </w:tc>
        <w:tc>
          <w:tcPr>
            <w:tcW w:w="24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w:t>
            </w:r>
          </w:p>
        </w:tc>
        <w:tc>
          <w:tcPr>
            <w:tcW w:w="180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As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Agent</w:t>
            </w: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440,000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1.64%</w:t>
            </w:r>
          </w:p>
        </w:tc>
        <w:tc>
          <w:tcPr>
            <w:tcW w:w="0" w:type="dxa"/>
            <w:vAlign w:val="bottom"/>
          </w:tcPr>
          <w:p>
            <w:pPr>
              <w:spacing w:after="0"/>
              <w:rPr>
                <w:sz w:val="1"/>
                <w:szCs w:val="1"/>
                <w:color w:val="auto"/>
              </w:rPr>
            </w:pPr>
          </w:p>
        </w:tc>
      </w:tr>
      <w:tr>
        <w:trPr>
          <w:trHeight w:val="311"/>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GAMCO:</w:t>
            </w:r>
          </w:p>
        </w:tc>
        <w:tc>
          <w:tcPr>
            <w:tcW w:w="242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4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As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Agent</w:t>
            </w: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1,175,800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4.37%</w:t>
            </w:r>
          </w:p>
        </w:tc>
        <w:tc>
          <w:tcPr>
            <w:tcW w:w="0" w:type="dxa"/>
            <w:vAlign w:val="bottom"/>
          </w:tcPr>
          <w:p>
            <w:pPr>
              <w:spacing w:after="0"/>
              <w:rPr>
                <w:sz w:val="1"/>
                <w:szCs w:val="1"/>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GSI</w:t>
            </w:r>
          </w:p>
        </w:tc>
        <w:tc>
          <w:tcPr>
            <w:tcW w:w="1800" w:type="dxa"/>
            <w:vAlign w:val="bottom"/>
          </w:tcPr>
          <w:p>
            <w:pPr>
              <w:spacing w:after="0"/>
              <w:rPr>
                <w:sz w:val="24"/>
                <w:szCs w:val="24"/>
                <w:color w:val="auto"/>
              </w:rPr>
            </w:pP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2,500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405"/>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rPr>
              <w:t>Mr. Gabelli</w:t>
            </w:r>
          </w:p>
        </w:tc>
        <w:tc>
          <w:tcPr>
            <w:tcW w:w="2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8" w:name="page9"/>
    <w:bookmarkEnd w:id="8"/>
    <w:p>
      <w:pPr>
        <w:ind w:right="3159" w:firstLine="1053"/>
        <w:spacing w:after="0" w:line="245" w:lineRule="auto"/>
        <w:rPr>
          <w:sz w:val="20"/>
          <w:szCs w:val="20"/>
          <w:color w:val="auto"/>
        </w:rPr>
      </w:pPr>
      <w:r>
        <w:rPr>
          <w:rFonts w:ascii="Courier New" w:cs="Courier New" w:eastAsia="Courier New" w:hAnsi="Courier New"/>
          <w:sz w:val="18"/>
          <w:szCs w:val="18"/>
          <w:color w:val="auto"/>
        </w:rPr>
        <w:t>Mr. Gabelli is deemed to have beneficial ownership of the Securities beneficially owned by each of the foregoing persons and GFI is deemed to have beneficial ownership of the Securities beneficially owned by each of the foregoing persons other than Mr. Gabelli.</w:t>
      </w:r>
    </w:p>
    <w:p>
      <w:pPr>
        <w:spacing w:after="0" w:line="4" w:lineRule="exact"/>
        <w:rPr>
          <w:sz w:val="20"/>
          <w:szCs w:val="20"/>
          <w:color w:val="auto"/>
        </w:rPr>
      </w:pPr>
    </w:p>
    <w:p>
      <w:pPr>
        <w:ind w:right="3159" w:firstLine="1061"/>
        <w:spacing w:after="0" w:line="270" w:lineRule="auto"/>
        <w:tabs>
          <w:tab w:leader="none" w:pos="147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GAMCO Investors, Inc. does not have authority to vote 1,197 of the reported shares, and except that GFI has sole dispositive and voting power with respect to the 440,000 shares of the Issuer held by the the Funds, so long as the aggregate voting interest of all joint filers does not exceed 25% of their total voting interest in the Issuer and in that event, the Proxy Voting Committee of each of the Funds shall respectively vote that Fund's shares, and except that, at any time, the Proxy Voting Committee of each such Fund may take and exercise in its sole discretion the entire voting power with respect to the shares held by such Fund under special circumstances such as regulatory considerations, and except that the power of Mr. Gabelli and GFI is indirect with respect to Securities beneficially owned directly by other Reporting Persons.</w:t>
      </w:r>
    </w:p>
    <w:p>
      <w:pPr>
        <w:spacing w:after="0" w:line="180" w:lineRule="exact"/>
        <w:rPr>
          <w:rFonts w:ascii="Courier New" w:cs="Courier New" w:eastAsia="Courier New" w:hAnsi="Courier New"/>
          <w:sz w:val="16"/>
          <w:szCs w:val="16"/>
          <w:color w:val="auto"/>
        </w:rPr>
      </w:pPr>
    </w:p>
    <w:p>
      <w:pPr>
        <w:ind w:right="3359" w:firstLine="1061"/>
        <w:spacing w:after="0" w:line="304" w:lineRule="auto"/>
        <w:tabs>
          <w:tab w:leader="none" w:pos="147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all transactions in the Securities which were effected during the past sixty days by each of the Reporting Persons and Covered Persons is set forth on Schedule II annexed hereto and incorporated herein by reference.</w:t>
      </w:r>
    </w:p>
    <w:p>
      <w:pPr>
        <w:sectPr>
          <w:pgSz w:w="11900" w:h="16838" w:orient="portrait"/>
          <w:cols w:equalWidth="0" w:num="1">
            <w:col w:w="10219"/>
          </w:cols>
          <w:pgMar w:left="24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April 29, 1997</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MARIO J. GABELLI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By:_____________________________</w:t>
      </w:r>
    </w:p>
    <w:p>
      <w:pPr>
        <w:spacing w:after="0" w:line="5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James E. McKee</w:t>
      </w:r>
    </w:p>
    <w:p>
      <w:pPr>
        <w:ind w:left="3900"/>
        <w:spacing w:after="0"/>
        <w:rPr>
          <w:sz w:val="20"/>
          <w:szCs w:val="20"/>
          <w:color w:val="auto"/>
        </w:rPr>
      </w:pPr>
      <w:r>
        <w:rPr>
          <w:rFonts w:ascii="Courier New" w:cs="Courier New" w:eastAsia="Courier New" w:hAnsi="Courier New"/>
          <w:sz w:val="18"/>
          <w:szCs w:val="18"/>
          <w:color w:val="auto"/>
        </w:rPr>
        <w:t>Attorney-in-Fact</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FUNDS,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General Counsel</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By:_________________________</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Douglas R. Jamieson</w:t>
      </w:r>
    </w:p>
    <w:p>
      <w:pPr>
        <w:ind w:left="4020"/>
        <w:spacing w:after="0"/>
        <w:rPr>
          <w:sz w:val="20"/>
          <w:szCs w:val="20"/>
          <w:color w:val="auto"/>
        </w:rPr>
      </w:pPr>
      <w:r>
        <w:rPr>
          <w:rFonts w:ascii="Courier New" w:cs="Courier New" w:eastAsia="Courier New" w:hAnsi="Courier New"/>
          <w:sz w:val="18"/>
          <w:szCs w:val="18"/>
          <w:color w:val="auto"/>
        </w:rPr>
        <w:t>Executive Vice President</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GABELLI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By:____________________________</w:t>
      </w:r>
    </w:p>
    <w:p>
      <w:pPr>
        <w:spacing w:after="0" w:line="5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488" w:right="1440" w:bottom="1440" w:gutter="0" w:footer="0" w:header="0"/>
        </w:sectPr>
      </w:pPr>
    </w:p>
    <w:bookmarkStart w:id="10" w:name="page11"/>
    <w:bookmarkEnd w:id="10"/>
    <w:p>
      <w:pPr>
        <w:jc w:val="right"/>
        <w:ind w:right="3359"/>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Information with Respect to Executive</w:t>
      </w:r>
    </w:p>
    <w:p>
      <w:pPr>
        <w:spacing w:after="0" w:line="3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Officers and Directors of the Undersigned</w:t>
      </w:r>
    </w:p>
    <w:p>
      <w:pPr>
        <w:spacing w:after="0" w:line="169" w:lineRule="exact"/>
        <w:rPr>
          <w:sz w:val="20"/>
          <w:szCs w:val="20"/>
          <w:color w:val="auto"/>
        </w:rPr>
      </w:pPr>
    </w:p>
    <w:p>
      <w:pPr>
        <w:ind w:right="3779" w:firstLine="1053"/>
        <w:spacing w:after="0" w:line="347" w:lineRule="auto"/>
        <w:rPr>
          <w:sz w:val="20"/>
          <w:szCs w:val="20"/>
          <w:color w:val="auto"/>
        </w:rPr>
      </w:pPr>
      <w:r>
        <w:rPr>
          <w:rFonts w:ascii="Courier New" w:cs="Courier New" w:eastAsia="Courier New" w:hAnsi="Courier New"/>
          <w:sz w:val="18"/>
          <w:szCs w:val="18"/>
          <w:color w:val="auto"/>
        </w:rPr>
        <w:t>Schedule I to Schedule 13D is amended, in pertinent part, as follows:</w:t>
      </w:r>
    </w:p>
    <w:p>
      <w:pPr>
        <w:spacing w:after="0" w:line="18" w:lineRule="exact"/>
        <w:rPr>
          <w:sz w:val="20"/>
          <w:szCs w:val="20"/>
          <w:color w:val="auto"/>
        </w:rPr>
      </w:pPr>
    </w:p>
    <w:p>
      <w:pPr>
        <w:ind w:right="3359" w:firstLine="1053"/>
        <w:spacing w:after="0" w:line="244" w:lineRule="auto"/>
        <w:rPr>
          <w:sz w:val="20"/>
          <w:szCs w:val="20"/>
          <w:color w:val="auto"/>
        </w:rPr>
      </w:pPr>
      <w:r>
        <w:rPr>
          <w:rFonts w:ascii="Courier New" w:cs="Courier New" w:eastAsia="Courier New" w:hAnsi="Courier New"/>
          <w:sz w:val="18"/>
          <w:szCs w:val="18"/>
          <w:color w:val="auto"/>
        </w:rPr>
        <w:t>The following sets forth as to each of the executive officers and directors of the undersigned: his name; his business address; and his present principal occupation or employment and the name, principal business and address of any corporation or other organization in which such employment is conducted. Unless otherwise specified, the principal employer of each such in-dividual is Gabelli Funds, Inc., Gabelli &amp; Company,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of this Schedule 13D.</w:t>
      </w:r>
    </w:p>
    <w:p>
      <w:pPr>
        <w:sectPr>
          <w:pgSz w:w="11900" w:h="16838" w:orient="portrait"/>
          <w:cols w:equalWidth="0" w:num="1">
            <w:col w:w="10219"/>
          </w:cols>
          <w:pgMar w:left="240" w:top="488"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Gabelli Funds, Inc.</w:t>
            </w: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Richard B. Black</w:t>
            </w: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Chairman of Raster Image</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Processing Systems; Chairman</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ECRM; Director of Archetype</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and Oak Technology; Director</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The Morgan Group, Inc.;</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General Partner of KBA Part-</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ners, Parker Plaza</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400 Kelby Street,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Fort Lee, NJ 07029</w:t>
            </w:r>
          </w:p>
        </w:tc>
        <w:tc>
          <w:tcPr>
            <w:tcW w:w="0" w:type="dxa"/>
            <w:vAlign w:val="bottom"/>
          </w:tcPr>
          <w:p>
            <w:pPr>
              <w:spacing w:after="0"/>
              <w:rPr>
                <w:sz w:val="1"/>
                <w:szCs w:val="1"/>
                <w:color w:val="auto"/>
              </w:rPr>
            </w:pPr>
          </w:p>
        </w:tc>
      </w:tr>
      <w:tr>
        <w:trPr>
          <w:trHeight w:val="311"/>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Charles C. Baum</w:t>
            </w: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w w:val="96"/>
              </w:rPr>
              <w:t>Chairman, Director and Chief</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Executive Officer of The</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Morgan Group, Inc.;</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Secretary &amp; Treasurer</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United Holdings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2545 Wilkens Avenue</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Baltimore, MD  21223</w:t>
            </w:r>
          </w:p>
        </w:tc>
        <w:tc>
          <w:tcPr>
            <w:tcW w:w="0" w:type="dxa"/>
            <w:vAlign w:val="bottom"/>
          </w:tcPr>
          <w:p>
            <w:pPr>
              <w:spacing w:after="0"/>
              <w:rPr>
                <w:sz w:val="1"/>
                <w:szCs w:val="1"/>
                <w:color w:val="auto"/>
              </w:rPr>
            </w:pPr>
          </w:p>
        </w:tc>
      </w:tr>
      <w:tr>
        <w:trPr>
          <w:trHeight w:val="311"/>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Dr. Eamon M. Kelly</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President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5"/>
              </w:rPr>
              <w:t>Tulane University</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218 Gibson Hall</w:t>
            </w:r>
          </w:p>
        </w:tc>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Avenue</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24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6823 St. Charles</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New Orleans, LA</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70118</w:t>
            </w:r>
          </w:p>
        </w:tc>
        <w:tc>
          <w:tcPr>
            <w:tcW w:w="0" w:type="dxa"/>
            <w:vAlign w:val="bottom"/>
          </w:tcPr>
          <w:p>
            <w:pPr>
              <w:spacing w:after="0"/>
              <w:rPr>
                <w:sz w:val="1"/>
                <w:szCs w:val="1"/>
                <w:color w:val="auto"/>
              </w:rPr>
            </w:pPr>
          </w:p>
        </w:tc>
      </w:tr>
      <w:tr>
        <w:trPr>
          <w:trHeight w:val="405"/>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Marc J. Gabelli</w:t>
            </w: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Vice President</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2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Chairman, Chief Executive</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Officer and Chief Investment</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rPr>
              <w:t>Officer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Executive Vice President,</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35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Chief Financial and Admin-</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2420" w:type="dxa"/>
            <w:vAlign w:val="bottom"/>
          </w:tcPr>
          <w:p>
            <w:pPr>
              <w:ind w:left="640"/>
              <w:spacing w:after="0"/>
              <w:rPr>
                <w:sz w:val="20"/>
                <w:szCs w:val="20"/>
                <w:color w:val="auto"/>
              </w:rPr>
            </w:pPr>
            <w:r>
              <w:rPr>
                <w:rFonts w:ascii="Courier New" w:cs="Courier New" w:eastAsia="Courier New" w:hAnsi="Courier New"/>
                <w:sz w:val="18"/>
                <w:szCs w:val="18"/>
                <w:color w:val="auto"/>
                <w:w w:val="95"/>
              </w:rPr>
              <w:t>istrative Officer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6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Vice President, General</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4"/>
                <w:szCs w:val="24"/>
                <w:color w:val="auto"/>
              </w:rPr>
            </w:pPr>
          </w:p>
        </w:tc>
        <w:tc>
          <w:tcPr>
            <w:tcW w:w="35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Counsel and Secretary</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31" w:lineRule="exact"/>
        <w:rPr>
          <w:sz w:val="20"/>
          <w:szCs w:val="20"/>
          <w:color w:val="auto"/>
        </w:rPr>
      </w:pPr>
    </w:p>
    <w:p>
      <w:pPr>
        <w:ind w:right="3259" w:firstLine="535"/>
        <w:spacing w:after="0" w:line="256"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Gabelli is the Chairman, Chief Executive Officer and Chief Investment Officer of Gabelli Funds, Inc. and of GAMCO Investors, Inc.; Director/Trustee of all registered investment companies advised by Gabelli Funds, Inc.; Chairman and Chief Executive Officer of Lynch Corporation.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GAMCO Investors,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Mario J. Gabelli</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Douglas R. Jamieson</w:t>
      </w:r>
    </w:p>
    <w:p>
      <w:pPr>
        <w:ind w:left="540"/>
        <w:spacing w:after="0" w:line="238" w:lineRule="auto"/>
        <w:rPr>
          <w:sz w:val="20"/>
          <w:szCs w:val="20"/>
          <w:color w:val="auto"/>
        </w:rPr>
      </w:pPr>
      <w:r>
        <w:rPr>
          <w:rFonts w:ascii="Courier New" w:cs="Courier New" w:eastAsia="Courier New" w:hAnsi="Courier New"/>
          <w:sz w:val="18"/>
          <w:szCs w:val="18"/>
          <w:color w:val="auto"/>
        </w:rPr>
        <w:t>Joseph R. Rindler, Jr.</w:t>
      </w:r>
    </w:p>
    <w:p>
      <w:pPr>
        <w:ind w:left="540"/>
        <w:spacing w:after="0"/>
        <w:rPr>
          <w:sz w:val="20"/>
          <w:szCs w:val="20"/>
          <w:color w:val="auto"/>
        </w:rPr>
      </w:pPr>
      <w:r>
        <w:rPr>
          <w:rFonts w:ascii="Courier New" w:cs="Courier New" w:eastAsia="Courier New" w:hAnsi="Courier New"/>
          <w:sz w:val="18"/>
          <w:szCs w:val="18"/>
          <w:color w:val="auto"/>
        </w:rPr>
        <w:t>Regina M. Pitaro</w:t>
      </w:r>
    </w:p>
    <w:p>
      <w:pPr>
        <w:ind w:left="540"/>
        <w:spacing w:after="0"/>
        <w:rPr>
          <w:sz w:val="20"/>
          <w:szCs w:val="20"/>
          <w:color w:val="auto"/>
        </w:rPr>
      </w:pPr>
      <w:r>
        <w:rPr>
          <w:rFonts w:ascii="Courier New" w:cs="Courier New" w:eastAsia="Courier New" w:hAnsi="Courier New"/>
          <w:sz w:val="18"/>
          <w:szCs w:val="18"/>
          <w:color w:val="auto"/>
        </w:rPr>
        <w:t>F. William Scholz,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w:t>
      </w:r>
    </w:p>
    <w:p>
      <w:pPr>
        <w:sectPr>
          <w:pgSz w:w="11900" w:h="16838" w:orient="portrait"/>
          <w:cols w:equalWidth="0" w:num="1">
            <w:col w:w="10219"/>
          </w:cols>
          <w:pgMar w:left="240" w:top="488" w:right="1440" w:bottom="0" w:gutter="0" w:footer="0" w:header="0"/>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Mario J. Gabelli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Chief Executive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Officer</w:t>
      </w:r>
    </w:p>
    <w:p>
      <w:pPr>
        <w:spacing w:after="0" w:line="200" w:lineRule="exact"/>
        <w:rPr>
          <w:sz w:val="20"/>
          <w:szCs w:val="20"/>
          <w:color w:val="auto"/>
        </w:rPr>
      </w:pPr>
    </w:p>
    <w:p>
      <w:pPr>
        <w:sectPr>
          <w:pgSz w:w="11900" w:h="16838" w:orient="portrait"/>
          <w:cols w:equalWidth="0" w:num="2">
            <w:col w:w="2980" w:space="720"/>
            <w:col w:w="6519"/>
          </w:cols>
          <w:pgMar w:left="240" w:top="488" w:right="1440" w:bottom="0" w:gutter="0" w:footer="0" w:header="0"/>
          <w:type w:val="continuous"/>
        </w:sectPr>
      </w:pP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R. Rindler,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and Chief Operating</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169" w:lineRule="exact"/>
        <w:rPr>
          <w:sz w:val="20"/>
          <w:szCs w:val="20"/>
          <w:color w:val="auto"/>
        </w:rPr>
      </w:pPr>
    </w:p>
    <w:p>
      <w:pPr>
        <w:sectPr>
          <w:pgSz w:w="11900" w:h="16838" w:orient="portrait"/>
          <w:cols w:equalWidth="0" w:num="2">
            <w:col w:w="2980" w:space="720"/>
            <w:col w:w="6519"/>
          </w:cols>
          <w:pgMar w:left="240" w:top="488"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Douglas R. Jamieson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ectPr>
          <w:pgSz w:w="11900" w:h="16838" w:orient="portrait"/>
          <w:cols w:equalWidth="0" w:num="2">
            <w:col w:w="2980" w:space="720"/>
            <w:col w:w="6519"/>
          </w:cols>
          <w:pgMar w:left="240" w:top="488"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488"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James E. McKee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General</w:t>
      </w:r>
    </w:p>
    <w:p>
      <w:pPr>
        <w:sectPr>
          <w:pgSz w:w="11900" w:h="16838" w:orient="portrait"/>
          <w:cols w:equalWidth="0" w:num="2">
            <w:col w:w="2980" w:space="720"/>
            <w:col w:w="6519"/>
          </w:cols>
          <w:pgMar w:left="240" w:top="488" w:right="1440" w:bottom="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96"/>
        </w:trPr>
        <w:tc>
          <w:tcPr>
            <w:tcW w:w="3280" w:type="dxa"/>
            <w:vAlign w:val="bottom"/>
          </w:tcPr>
          <w:p>
            <w:pPr>
              <w:spacing w:after="0"/>
              <w:rPr>
                <w:sz w:val="24"/>
                <w:szCs w:val="24"/>
                <w:color w:val="auto"/>
              </w:rPr>
            </w:pP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Counsel and Secretary</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Securities, Inc.</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11"/>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Robert W. Blake</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President of W.R. Blake</w:t>
            </w:r>
          </w:p>
        </w:tc>
      </w:tr>
      <w:tr>
        <w:trPr>
          <w:trHeight w:val="203"/>
        </w:trPr>
        <w:tc>
          <w:tcPr>
            <w:tcW w:w="3280" w:type="dxa"/>
            <w:vAlign w:val="bottom"/>
          </w:tcPr>
          <w:p>
            <w:pPr>
              <w:spacing w:after="0"/>
              <w:rPr>
                <w:sz w:val="17"/>
                <w:szCs w:val="17"/>
                <w:color w:val="auto"/>
              </w:rPr>
            </w:pPr>
          </w:p>
        </w:tc>
        <w:tc>
          <w:tcPr>
            <w:tcW w:w="18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&amp; Sons, Inc.</w:t>
            </w:r>
          </w:p>
        </w:tc>
        <w:tc>
          <w:tcPr>
            <w:tcW w:w="15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196-20 Northern Boulevard</w:t>
            </w:r>
          </w:p>
        </w:tc>
      </w:tr>
      <w:tr>
        <w:trPr>
          <w:trHeight w:val="296"/>
        </w:trPr>
        <w:tc>
          <w:tcPr>
            <w:tcW w:w="3280" w:type="dxa"/>
            <w:vAlign w:val="bottom"/>
          </w:tcPr>
          <w:p>
            <w:pPr>
              <w:spacing w:after="0"/>
              <w:rPr>
                <w:sz w:val="24"/>
                <w:szCs w:val="24"/>
                <w:color w:val="auto"/>
              </w:rPr>
            </w:pPr>
          </w:p>
        </w:tc>
        <w:tc>
          <w:tcPr>
            <w:tcW w:w="18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Flushing, NY</w:t>
            </w:r>
          </w:p>
        </w:tc>
        <w:tc>
          <w:tcPr>
            <w:tcW w:w="158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6"/>
              </w:rPr>
              <w:t>11358</w:t>
            </w:r>
          </w:p>
        </w:tc>
      </w:tr>
      <w:tr>
        <w:trPr>
          <w:trHeight w:val="311"/>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Douglas G. DeVivo</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General Partner of ALCE</w:t>
            </w:r>
          </w:p>
        </w:tc>
      </w:tr>
      <w:tr>
        <w:trPr>
          <w:trHeight w:val="203"/>
        </w:trPr>
        <w:tc>
          <w:tcPr>
            <w:tcW w:w="3280" w:type="dxa"/>
            <w:vAlign w:val="bottom"/>
          </w:tcPr>
          <w:p>
            <w:pPr>
              <w:spacing w:after="0"/>
              <w:rPr>
                <w:sz w:val="17"/>
                <w:szCs w:val="17"/>
                <w:color w:val="auto"/>
              </w:rPr>
            </w:pPr>
          </w:p>
        </w:tc>
        <w:tc>
          <w:tcPr>
            <w:tcW w:w="18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5"/>
              </w:rPr>
              <w:t>Partners, L.P.</w:t>
            </w:r>
          </w:p>
        </w:tc>
        <w:tc>
          <w:tcPr>
            <w:tcW w:w="15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One First Street, Suite 16</w:t>
            </w:r>
          </w:p>
        </w:tc>
      </w:tr>
      <w:tr>
        <w:trPr>
          <w:trHeight w:val="296"/>
        </w:trPr>
        <w:tc>
          <w:tcPr>
            <w:tcW w:w="3280" w:type="dxa"/>
            <w:vAlign w:val="bottom"/>
          </w:tcPr>
          <w:p>
            <w:pPr>
              <w:spacing w:after="0"/>
              <w:rPr>
                <w:sz w:val="24"/>
                <w:szCs w:val="24"/>
                <w:color w:val="auto"/>
              </w:rPr>
            </w:pPr>
          </w:p>
        </w:tc>
        <w:tc>
          <w:tcPr>
            <w:tcW w:w="18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Los Altos, CA</w:t>
            </w:r>
          </w:p>
        </w:tc>
        <w:tc>
          <w:tcPr>
            <w:tcW w:w="1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94022</w:t>
            </w:r>
          </w:p>
        </w:tc>
      </w:tr>
      <w:tr>
        <w:trPr>
          <w:trHeight w:val="311"/>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Ronald L. Gallatin</w:t>
            </w:r>
          </w:p>
        </w:tc>
        <w:tc>
          <w:tcPr>
            <w:tcW w:w="188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Consultant</w:t>
            </w:r>
          </w:p>
        </w:tc>
        <w:tc>
          <w:tcPr>
            <w:tcW w:w="1580" w:type="dxa"/>
            <w:vAlign w:val="bottom"/>
          </w:tcPr>
          <w:p>
            <w:pPr>
              <w:spacing w:after="0"/>
              <w:rPr>
                <w:sz w:val="24"/>
                <w:szCs w:val="24"/>
                <w:color w:val="auto"/>
              </w:rPr>
            </w:pP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Gabelli Securities, Inc.</w:t>
            </w: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One Corporate Center</w:t>
            </w:r>
          </w:p>
        </w:tc>
      </w:tr>
      <w:tr>
        <w:trPr>
          <w:trHeight w:val="296"/>
        </w:trPr>
        <w:tc>
          <w:tcPr>
            <w:tcW w:w="328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Rye, NY</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10580</w:t>
            </w:r>
          </w:p>
        </w:tc>
        <w:tc>
          <w:tcPr>
            <w:tcW w:w="1580" w:type="dxa"/>
            <w:vAlign w:val="bottom"/>
          </w:tcPr>
          <w:p>
            <w:pPr>
              <w:spacing w:after="0"/>
              <w:rPr>
                <w:sz w:val="24"/>
                <w:szCs w:val="24"/>
                <w:color w:val="auto"/>
              </w:rPr>
            </w:pPr>
          </w:p>
        </w:tc>
      </w:tr>
      <w:tr>
        <w:trPr>
          <w:trHeight w:val="311"/>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Francine Sommer</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Chief Executive Officer of</w:t>
            </w: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General Partner of Gabelli</w:t>
            </w: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Multimedia Partners, L.P.</w:t>
            </w: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One Corporate Center</w:t>
            </w:r>
          </w:p>
        </w:tc>
      </w:tr>
      <w:tr>
        <w:trPr>
          <w:trHeight w:val="296"/>
        </w:trPr>
        <w:tc>
          <w:tcPr>
            <w:tcW w:w="328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Rye, NY</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10580</w:t>
            </w: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Joseph R. Rindler, Jr.</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w w:val="94"/>
              </w:rPr>
              <w:t>See above</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11"/>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Gary P. Watson</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3280" w:type="dxa"/>
            <w:vAlign w:val="bottom"/>
          </w:tcPr>
          <w:p>
            <w:pPr>
              <w:spacing w:after="0"/>
              <w:rPr>
                <w:sz w:val="17"/>
                <w:szCs w:val="17"/>
                <w:color w:val="auto"/>
              </w:rPr>
            </w:pPr>
          </w:p>
        </w:tc>
        <w:tc>
          <w:tcPr>
            <w:tcW w:w="346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Chief Financial and Admin-</w:t>
            </w:r>
          </w:p>
        </w:tc>
      </w:tr>
      <w:tr>
        <w:trPr>
          <w:trHeight w:val="296"/>
        </w:trPr>
        <w:tc>
          <w:tcPr>
            <w:tcW w:w="3280" w:type="dxa"/>
            <w:vAlign w:val="bottom"/>
          </w:tcPr>
          <w:p>
            <w:pPr>
              <w:spacing w:after="0"/>
              <w:rPr>
                <w:sz w:val="24"/>
                <w:szCs w:val="24"/>
                <w:color w:val="auto"/>
              </w:rPr>
            </w:pP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istrative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w w:val="94"/>
              </w:rPr>
              <w:t>Secretary</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Gabelli &amp; Company, Inc.</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G. Webster, III</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w w:val="94"/>
              </w:rPr>
              <w:t>See above</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Donald C. Jenkins</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Director of Research</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G. Webster, III</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Chairman</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Walter K. Walsh</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Compliance Officer</w:t>
            </w: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James E. McKee</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w w:val="94"/>
              </w:rPr>
              <w:t>Secretary</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717"/>
        </w:trPr>
        <w:tc>
          <w:tcPr>
            <w:tcW w:w="3280" w:type="dxa"/>
            <w:vAlign w:val="bottom"/>
          </w:tcPr>
          <w:p>
            <w:pPr>
              <w:spacing w:after="0"/>
              <w:rPr>
                <w:sz w:val="20"/>
                <w:szCs w:val="20"/>
                <w:color w:val="auto"/>
              </w:rPr>
            </w:pPr>
            <w:r>
              <w:rPr>
                <w:rFonts w:ascii="Courier New" w:cs="Courier New" w:eastAsia="Courier New" w:hAnsi="Courier New"/>
                <w:sz w:val="18"/>
                <w:szCs w:val="18"/>
                <w:color w:val="auto"/>
              </w:rPr>
              <w:t>GLI, Inc.</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6"/>
        </w:trPr>
        <w:tc>
          <w:tcPr>
            <w:tcW w:w="32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6"/>
              </w:rPr>
              <w:t>See above-Gabelli Funds, Inc.</w:t>
            </w: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11"/>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46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6"/>
              </w:rPr>
              <w:t>Chairman and Chief Investment</w:t>
            </w:r>
          </w:p>
        </w:tc>
      </w:tr>
      <w:tr>
        <w:trPr>
          <w:trHeight w:val="296"/>
        </w:trPr>
        <w:tc>
          <w:tcPr>
            <w:tcW w:w="3280" w:type="dxa"/>
            <w:vAlign w:val="bottom"/>
          </w:tcPr>
          <w:p>
            <w:pPr>
              <w:spacing w:after="0"/>
              <w:rPr>
                <w:sz w:val="24"/>
                <w:szCs w:val="24"/>
                <w:color w:val="auto"/>
              </w:rPr>
            </w:pP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Officer</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280" w:type="dxa"/>
            <w:vAlign w:val="bottom"/>
          </w:tcPr>
          <w:p>
            <w:pPr>
              <w:ind w:left="540"/>
              <w:spacing w:after="0"/>
              <w:rPr>
                <w:sz w:val="20"/>
                <w:szCs w:val="20"/>
                <w:color w:val="auto"/>
              </w:rPr>
            </w:pPr>
            <w:r>
              <w:rPr>
                <w:rFonts w:ascii="Courier New" w:cs="Courier New" w:eastAsia="Courier New" w:hAnsi="Courier New"/>
                <w:sz w:val="18"/>
                <w:szCs w:val="18"/>
                <w:color w:val="auto"/>
              </w:rPr>
              <w:t>Stephen G. Bondi</w:t>
            </w:r>
          </w:p>
        </w:tc>
        <w:tc>
          <w:tcPr>
            <w:tcW w:w="18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5"/>
              </w:rPr>
              <w:t>Vice President</w:t>
            </w: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Associates Limited</w:t>
      </w:r>
    </w:p>
    <w:p>
      <w:pPr>
        <w:sectPr>
          <w:pgSz w:w="11900" w:h="16838" w:orient="portrait"/>
          <w:cols w:equalWidth="0" w:num="1">
            <w:col w:w="10219"/>
          </w:cols>
          <w:pgMar w:left="240" w:top="110"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See above-Gabelli Funds, Inc.</w:t>
            </w:r>
          </w:p>
        </w:tc>
      </w:tr>
      <w:tr>
        <w:trPr>
          <w:trHeight w:val="514"/>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MeesPierson</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(Cayman)</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Cayman Islands, British</w:t>
            </w:r>
          </w:p>
        </w:tc>
      </w:tr>
      <w:tr>
        <w:trPr>
          <w:trHeight w:val="296"/>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WestIndies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Chief Investment Officer</w:t>
            </w:r>
          </w:p>
        </w:tc>
      </w:tr>
      <w:tr>
        <w:trPr>
          <w:trHeight w:val="311"/>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w w:val="95"/>
              </w:rPr>
              <w:t>Kevin Bromley</w:t>
            </w: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96"/>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Assistant Secretary</w:t>
            </w:r>
          </w:p>
        </w:tc>
      </w:tr>
      <w:tr>
        <w:trPr>
          <w:trHeight w:val="405"/>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Sandra Wight</w:t>
            </w: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Secretary and Assistant Treasurer</w:t>
            </w:r>
          </w:p>
        </w:tc>
      </w:tr>
      <w:tr>
        <w:trPr>
          <w:trHeight w:val="608"/>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Gabelli International Limited</w:t>
            </w:r>
          </w:p>
        </w:tc>
        <w:tc>
          <w:tcPr>
            <w:tcW w:w="4000" w:type="dxa"/>
            <w:vAlign w:val="bottom"/>
          </w:tcPr>
          <w:p>
            <w:pPr>
              <w:spacing w:after="0"/>
              <w:rPr>
                <w:sz w:val="24"/>
                <w:szCs w:val="24"/>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05"/>
        </w:trPr>
        <w:tc>
          <w:tcPr>
            <w:tcW w:w="33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See above-Gabelli Funds, Inc.</w:t>
            </w:r>
          </w:p>
        </w:tc>
      </w:tr>
      <w:tr>
        <w:trPr>
          <w:trHeight w:val="311"/>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MeesPierson</w:t>
            </w:r>
          </w:p>
        </w:tc>
        <w:tc>
          <w:tcPr>
            <w:tcW w:w="1480" w:type="dxa"/>
            <w:vAlign w:val="bottom"/>
          </w:tcPr>
          <w:p>
            <w:pPr>
              <w:spacing w:after="0"/>
              <w:rPr>
                <w:sz w:val="20"/>
                <w:szCs w:val="20"/>
                <w:color w:val="auto"/>
              </w:rPr>
            </w:pPr>
            <w:r>
              <w:rPr>
                <w:rFonts w:ascii="Courier New" w:cs="Courier New" w:eastAsia="Courier New" w:hAnsi="Courier New"/>
                <w:sz w:val="18"/>
                <w:szCs w:val="18"/>
                <w:color w:val="auto"/>
              </w:rPr>
              <w:t>(Cayman)</w:t>
            </w: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Limited</w:t>
            </w: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96"/>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w w:val="96"/>
              </w:rPr>
              <w:t>Cayman Islands, British West Indies</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11"/>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w w:val="95"/>
              </w:rPr>
              <w:t>Kevin Bromley</w:t>
            </w: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Vice President, Treasurer, and</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MeesPierson (Cayman) Limited</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British American Centre</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Dr. Roy's Drive- Phase 3</w:t>
            </w:r>
          </w:p>
        </w:tc>
      </w:tr>
      <w:tr>
        <w:trPr>
          <w:trHeight w:val="203"/>
        </w:trPr>
        <w:tc>
          <w:tcPr>
            <w:tcW w:w="1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Georgetown, Grand Cayman</w:t>
            </w:r>
          </w:p>
        </w:tc>
      </w:tr>
      <w:tr>
        <w:trPr>
          <w:trHeight w:val="296"/>
        </w:trPr>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w w:val="96"/>
              </w:rPr>
              <w:t>Cayman Islands, British West Indies</w:t>
            </w:r>
          </w:p>
        </w:tc>
      </w:tr>
      <w:tr>
        <w:trPr>
          <w:trHeight w:val="311"/>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Sandra Wight</w:t>
            </w:r>
          </w:p>
        </w:tc>
        <w:tc>
          <w:tcPr>
            <w:tcW w:w="148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Secretary and Assistant Treasurer</w:t>
            </w:r>
          </w:p>
        </w:tc>
      </w:tr>
      <w:tr>
        <w:trPr>
          <w:trHeight w:val="235"/>
        </w:trPr>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Assistant Secretary</w:t>
            </w:r>
          </w:p>
        </w:tc>
      </w:tr>
    </w:tbl>
    <w:p>
      <w:pPr>
        <w:ind w:left="3700"/>
        <w:spacing w:after="0" w:line="238" w:lineRule="auto"/>
        <w:rPr>
          <w:sz w:val="20"/>
          <w:szCs w:val="20"/>
          <w:color w:val="auto"/>
        </w:rPr>
      </w:pPr>
      <w:r>
        <w:rPr>
          <w:rFonts w:ascii="Courier New" w:cs="Courier New" w:eastAsia="Courier New" w:hAnsi="Courier New"/>
          <w:sz w:val="18"/>
          <w:szCs w:val="18"/>
          <w:color w:val="auto"/>
        </w:rPr>
        <w:t>MeesPierson (Cayman) Limited</w:t>
      </w:r>
    </w:p>
    <w:p>
      <w:pPr>
        <w:ind w:left="3700"/>
        <w:spacing w:after="0"/>
        <w:rPr>
          <w:sz w:val="20"/>
          <w:szCs w:val="20"/>
          <w:color w:val="auto"/>
        </w:rPr>
      </w:pPr>
      <w:r>
        <w:rPr>
          <w:rFonts w:ascii="Courier New" w:cs="Courier New" w:eastAsia="Courier New" w:hAnsi="Courier New"/>
          <w:sz w:val="18"/>
          <w:szCs w:val="18"/>
          <w:color w:val="auto"/>
        </w:rPr>
        <w:t>British American Centre</w:t>
      </w:r>
    </w:p>
    <w:p>
      <w:pPr>
        <w:ind w:left="3700"/>
        <w:spacing w:after="0" w:line="238" w:lineRule="auto"/>
        <w:rPr>
          <w:sz w:val="20"/>
          <w:szCs w:val="20"/>
          <w:color w:val="auto"/>
        </w:rPr>
      </w:pPr>
      <w:r>
        <w:rPr>
          <w:rFonts w:ascii="Courier New" w:cs="Courier New" w:eastAsia="Courier New" w:hAnsi="Courier New"/>
          <w:sz w:val="18"/>
          <w:szCs w:val="18"/>
          <w:color w:val="auto"/>
        </w:rPr>
        <w:t>Dr. Roy's Drive- Phase 3</w:t>
      </w:r>
    </w:p>
    <w:p>
      <w:pPr>
        <w:ind w:left="3700"/>
        <w:spacing w:after="0"/>
        <w:rPr>
          <w:sz w:val="20"/>
          <w:szCs w:val="20"/>
          <w:color w:val="auto"/>
        </w:rPr>
      </w:pPr>
      <w:r>
        <w:rPr>
          <w:rFonts w:ascii="Courier New" w:cs="Courier New" w:eastAsia="Courier New" w:hAnsi="Courier New"/>
          <w:sz w:val="18"/>
          <w:szCs w:val="18"/>
          <w:color w:val="auto"/>
        </w:rPr>
        <w:t>Georgetown, Grand Cayman</w:t>
      </w:r>
    </w:p>
    <w:p>
      <w:pPr>
        <w:ind w:left="3700"/>
        <w:spacing w:after="0"/>
        <w:rPr>
          <w:sz w:val="20"/>
          <w:szCs w:val="20"/>
          <w:color w:val="auto"/>
        </w:rPr>
      </w:pPr>
      <w:r>
        <w:rPr>
          <w:rFonts w:ascii="Courier New" w:cs="Courier New" w:eastAsia="Courier New" w:hAnsi="Courier New"/>
          <w:sz w:val="16"/>
          <w:szCs w:val="16"/>
          <w:color w:val="auto"/>
        </w:rPr>
        <w:t>Cayman Islands, British West Indies</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Gabelli Asset Management Company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Advisory Services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10" w:right="1440" w:bottom="0" w:gutter="0" w:footer="0" w:header="0"/>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Marc J. Gabelli</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above-Gabelli Funds, Inc.</w:t>
      </w:r>
    </w:p>
    <w:p>
      <w:pPr>
        <w:spacing w:after="0" w:line="200" w:lineRule="exact"/>
        <w:rPr>
          <w:sz w:val="20"/>
          <w:szCs w:val="20"/>
          <w:color w:val="auto"/>
        </w:rPr>
      </w:pPr>
    </w:p>
    <w:p>
      <w:pPr>
        <w:sectPr>
          <w:pgSz w:w="11900" w:h="16838" w:orient="portrait"/>
          <w:cols w:equalWidth="0" w:num="2">
            <w:col w:w="2980" w:space="720"/>
            <w:col w:w="6519"/>
          </w:cols>
          <w:pgMar w:left="240" w:top="11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Stephen G. Bondi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Above-Gabelli Funds, Inc.</w:t>
      </w:r>
    </w:p>
    <w:p>
      <w:pPr>
        <w:spacing w:after="0" w:line="200" w:lineRule="exact"/>
        <w:rPr>
          <w:sz w:val="20"/>
          <w:szCs w:val="20"/>
          <w:color w:val="auto"/>
        </w:rPr>
      </w:pPr>
    </w:p>
    <w:p>
      <w:pPr>
        <w:sectPr>
          <w:pgSz w:w="11900" w:h="16838" w:orient="portrait"/>
          <w:cols w:equalWidth="0" w:num="2">
            <w:col w:w="2980" w:space="720"/>
            <w:col w:w="6519"/>
          </w:cols>
          <w:pgMar w:left="240" w:top="11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Joseph R. Rindler, Jr.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above-GAMCO Investors, Inc.</w:t>
      </w:r>
    </w:p>
    <w:p>
      <w:pPr>
        <w:spacing w:after="0" w:line="200" w:lineRule="exact"/>
        <w:rPr>
          <w:sz w:val="20"/>
          <w:szCs w:val="20"/>
          <w:color w:val="auto"/>
        </w:rPr>
      </w:pPr>
    </w:p>
    <w:p>
      <w:pPr>
        <w:sectPr>
          <w:pgSz w:w="11900" w:h="16838" w:orient="portrait"/>
          <w:cols w:equalWidth="0" w:num="2">
            <w:col w:w="2980" w:space="720"/>
            <w:col w:w="6519"/>
          </w:cols>
          <w:pgMar w:left="240" w:top="110"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Michael J. Burns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Appleby, Spurling &amp; Kempe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Cedar House</w:t>
      </w:r>
    </w:p>
    <w:p>
      <w:pPr>
        <w:spacing w:after="0" w:line="238" w:lineRule="auto"/>
        <w:rPr>
          <w:sz w:val="20"/>
          <w:szCs w:val="20"/>
          <w:color w:val="auto"/>
        </w:rPr>
      </w:pPr>
      <w:r>
        <w:rPr>
          <w:rFonts w:ascii="Courier New" w:cs="Courier New" w:eastAsia="Courier New" w:hAnsi="Courier New"/>
          <w:sz w:val="18"/>
          <w:szCs w:val="18"/>
          <w:color w:val="auto"/>
        </w:rPr>
        <w:t>41 Cedar Avenue</w:t>
      </w:r>
    </w:p>
    <w:p>
      <w:pPr>
        <w:spacing w:after="0"/>
        <w:rPr>
          <w:sz w:val="20"/>
          <w:szCs w:val="20"/>
          <w:color w:val="auto"/>
        </w:rPr>
      </w:pPr>
      <w:r>
        <w:rPr>
          <w:rFonts w:ascii="Courier New" w:cs="Courier New" w:eastAsia="Courier New" w:hAnsi="Courier New"/>
          <w:sz w:val="18"/>
          <w:szCs w:val="18"/>
          <w:color w:val="auto"/>
        </w:rPr>
        <w:t>Hamilton, HM12</w:t>
      </w:r>
    </w:p>
    <w:p>
      <w:pPr>
        <w:spacing w:after="0"/>
        <w:rPr>
          <w:sz w:val="20"/>
          <w:szCs w:val="20"/>
          <w:color w:val="auto"/>
        </w:rPr>
      </w:pPr>
      <w:r>
        <w:rPr>
          <w:rFonts w:ascii="Courier New" w:cs="Courier New" w:eastAsia="Courier New" w:hAnsi="Courier New"/>
          <w:sz w:val="18"/>
          <w:szCs w:val="18"/>
          <w:color w:val="auto"/>
        </w:rPr>
        <w:t>Bermuda</w:t>
      </w:r>
    </w:p>
    <w:p>
      <w:pPr>
        <w:spacing w:after="0" w:line="169" w:lineRule="exact"/>
        <w:rPr>
          <w:sz w:val="20"/>
          <w:szCs w:val="20"/>
          <w:color w:val="auto"/>
        </w:rPr>
      </w:pPr>
    </w:p>
    <w:p>
      <w:pPr>
        <w:sectPr>
          <w:pgSz w:w="11900" w:h="16838" w:orient="portrait"/>
          <w:cols w:equalWidth="0" w:num="2">
            <w:col w:w="2980" w:space="720"/>
            <w:col w:w="6519"/>
          </w:cols>
          <w:pgMar w:left="240" w:top="110"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Douglas Molyneux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Appleby, Spurling &amp; Kempe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Cedar House</w:t>
      </w:r>
    </w:p>
    <w:p>
      <w:pPr>
        <w:spacing w:after="0" w:line="238" w:lineRule="auto"/>
        <w:rPr>
          <w:sz w:val="20"/>
          <w:szCs w:val="20"/>
          <w:color w:val="auto"/>
        </w:rPr>
      </w:pPr>
      <w:r>
        <w:rPr>
          <w:rFonts w:ascii="Courier New" w:cs="Courier New" w:eastAsia="Courier New" w:hAnsi="Courier New"/>
          <w:sz w:val="18"/>
          <w:szCs w:val="18"/>
          <w:color w:val="auto"/>
        </w:rPr>
        <w:t>41 Cedar Avenue</w:t>
      </w:r>
    </w:p>
    <w:p>
      <w:pPr>
        <w:spacing w:after="0"/>
        <w:rPr>
          <w:sz w:val="20"/>
          <w:szCs w:val="20"/>
          <w:color w:val="auto"/>
        </w:rPr>
      </w:pPr>
      <w:r>
        <w:rPr>
          <w:rFonts w:ascii="Courier New" w:cs="Courier New" w:eastAsia="Courier New" w:hAnsi="Courier New"/>
          <w:sz w:val="18"/>
          <w:szCs w:val="18"/>
          <w:color w:val="auto"/>
        </w:rPr>
        <w:t>Hamilton, HM12</w:t>
      </w:r>
    </w:p>
    <w:p>
      <w:pPr>
        <w:spacing w:after="0"/>
        <w:rPr>
          <w:sz w:val="20"/>
          <w:szCs w:val="20"/>
          <w:color w:val="auto"/>
        </w:rPr>
      </w:pPr>
      <w:r>
        <w:rPr>
          <w:rFonts w:ascii="Courier New" w:cs="Courier New" w:eastAsia="Courier New" w:hAnsi="Courier New"/>
          <w:sz w:val="18"/>
          <w:szCs w:val="18"/>
          <w:color w:val="auto"/>
        </w:rPr>
        <w:t>Bermuda</w:t>
      </w:r>
    </w:p>
    <w:p>
      <w:pPr>
        <w:spacing w:after="0" w:line="200" w:lineRule="exact"/>
        <w:rPr>
          <w:sz w:val="20"/>
          <w:szCs w:val="20"/>
          <w:color w:val="auto"/>
        </w:rPr>
      </w:pPr>
    </w:p>
    <w:p>
      <w:pPr>
        <w:sectPr>
          <w:pgSz w:w="11900" w:h="16838" w:orient="portrait"/>
          <w:cols w:equalWidth="0" w:num="2">
            <w:col w:w="2980" w:space="720"/>
            <w:col w:w="6519"/>
          </w:cols>
          <w:pgMar w:left="240" w:top="110" w:right="1440" w:bottom="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Sound Shore Drive</w:t>
      </w:r>
    </w:p>
    <w:p>
      <w:pPr>
        <w:spacing w:after="0"/>
        <w:tabs>
          <w:tab w:leader="none" w:pos="1560" w:val="left"/>
        </w:tabs>
        <w:rPr>
          <w:sz w:val="20"/>
          <w:szCs w:val="20"/>
          <w:color w:val="auto"/>
        </w:rPr>
      </w:pPr>
      <w:r>
        <w:rPr>
          <w:rFonts w:ascii="Courier New" w:cs="Courier New" w:eastAsia="Courier New" w:hAnsi="Courier New"/>
          <w:sz w:val="18"/>
          <w:szCs w:val="18"/>
          <w:color w:val="auto"/>
        </w:rPr>
        <w:t>Greenwich, CT</w:t>
        <w:tab/>
        <w:t>06830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10" w:right="1440" w:bottom="0" w:gutter="0" w:footer="0" w:header="0"/>
          <w:type w:val="continuous"/>
        </w:sectPr>
      </w:pPr>
    </w:p>
    <w:bookmarkStart w:id="14" w:name="page15"/>
    <w:bookmarkEnd w:id="14"/>
    <w:tbl>
      <w:tblPr>
        <w:tblLayout w:type="fixed"/>
        <w:tblInd w:w="540" w:type="dxa"/>
        <w:tblCellMar>
          <w:top w:w="0" w:type="dxa"/>
          <w:left w:w="0" w:type="dxa"/>
          <w:bottom w:w="0" w:type="dxa"/>
          <w:right w:w="0" w:type="dxa"/>
        </w:tblCellMar>
      </w:tblPr>
      <w:tr>
        <w:trPr>
          <w:trHeight w:val="204"/>
        </w:trPr>
        <w:tc>
          <w:tcPr>
            <w:tcW w:w="2420" w:type="dxa"/>
            <w:vAlign w:val="bottom"/>
          </w:tcPr>
          <w:p>
            <w:pPr>
              <w:spacing w:after="0"/>
              <w:rPr>
                <w:sz w:val="20"/>
                <w:szCs w:val="20"/>
                <w:color w:val="auto"/>
              </w:rPr>
            </w:pPr>
            <w:r>
              <w:rPr>
                <w:rFonts w:ascii="Courier New" w:cs="Courier New" w:eastAsia="Courier New" w:hAnsi="Courier New"/>
                <w:sz w:val="18"/>
                <w:szCs w:val="18"/>
                <w:color w:val="auto"/>
              </w:rPr>
              <w:t>Paul J. Evanson</w:t>
            </w:r>
          </w:p>
        </w:tc>
        <w:tc>
          <w:tcPr>
            <w:tcW w:w="2640" w:type="dxa"/>
            <w:vAlign w:val="bottom"/>
          </w:tcPr>
          <w:p>
            <w:pPr>
              <w:ind w:left="740"/>
              <w:spacing w:after="0"/>
              <w:rPr>
                <w:sz w:val="20"/>
                <w:szCs w:val="20"/>
                <w:color w:val="auto"/>
              </w:rPr>
            </w:pPr>
            <w:r>
              <w:rPr>
                <w:rFonts w:ascii="Courier New" w:cs="Courier New" w:eastAsia="Courier New" w:hAnsi="Courier New"/>
                <w:sz w:val="18"/>
                <w:szCs w:val="18"/>
                <w:color w:val="auto"/>
              </w:rPr>
              <w:t>President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Florida Light &amp; Power Co.</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P.O Box 14000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700 Universe Blvd.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4"/>
                <w:szCs w:val="24"/>
                <w:color w:val="auto"/>
              </w:rPr>
            </w:pP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Juno Beach, Fl 33408</w:t>
            </w:r>
          </w:p>
        </w:tc>
        <w:tc>
          <w:tcPr>
            <w:tcW w:w="0" w:type="dxa"/>
            <w:vAlign w:val="bottom"/>
          </w:tcPr>
          <w:p>
            <w:pPr>
              <w:spacing w:after="0"/>
              <w:rPr>
                <w:sz w:val="1"/>
                <w:szCs w:val="1"/>
                <w:color w:val="auto"/>
              </w:rPr>
            </w:pPr>
          </w:p>
        </w:tc>
      </w:tr>
      <w:tr>
        <w:trPr>
          <w:trHeight w:val="311"/>
        </w:trPr>
        <w:tc>
          <w:tcPr>
            <w:tcW w:w="2420" w:type="dxa"/>
            <w:vAlign w:val="bottom"/>
          </w:tcPr>
          <w:p>
            <w:pPr>
              <w:spacing w:after="0"/>
              <w:rPr>
                <w:sz w:val="20"/>
                <w:szCs w:val="20"/>
                <w:color w:val="auto"/>
              </w:rPr>
            </w:pPr>
            <w:r>
              <w:rPr>
                <w:rFonts w:ascii="Courier New" w:cs="Courier New" w:eastAsia="Courier New" w:hAnsi="Courier New"/>
                <w:sz w:val="18"/>
                <w:szCs w:val="18"/>
                <w:color w:val="auto"/>
              </w:rPr>
              <w:t>Morris Berkowitz</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Business Consultant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163-43 Willets Point Blvd.</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4"/>
                <w:szCs w:val="24"/>
                <w:color w:val="auto"/>
              </w:rPr>
            </w:pP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Whitestone, NY 11357</w:t>
            </w:r>
          </w:p>
        </w:tc>
        <w:tc>
          <w:tcPr>
            <w:tcW w:w="0" w:type="dxa"/>
            <w:vAlign w:val="bottom"/>
          </w:tcPr>
          <w:p>
            <w:pPr>
              <w:spacing w:after="0"/>
              <w:rPr>
                <w:sz w:val="1"/>
                <w:szCs w:val="1"/>
                <w:color w:val="auto"/>
              </w:rPr>
            </w:pPr>
          </w:p>
        </w:tc>
      </w:tr>
      <w:tr>
        <w:trPr>
          <w:trHeight w:val="405"/>
        </w:trPr>
        <w:tc>
          <w:tcPr>
            <w:tcW w:w="2420" w:type="dxa"/>
            <w:vAlign w:val="bottom"/>
          </w:tcPr>
          <w:p>
            <w:pPr>
              <w:spacing w:after="0"/>
              <w:rPr>
                <w:sz w:val="20"/>
                <w:szCs w:val="20"/>
                <w:color w:val="auto"/>
              </w:rPr>
            </w:pPr>
            <w:r>
              <w:rPr>
                <w:rFonts w:ascii="Courier New" w:cs="Courier New" w:eastAsia="Courier New" w:hAnsi="Courier New"/>
                <w:sz w:val="18"/>
                <w:szCs w:val="18"/>
                <w:color w:val="auto"/>
              </w:rPr>
              <w:t>Mario J. Gabelli</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6"/>
              </w:rPr>
              <w:t>See above-Gabelli Funds, Inc.</w:t>
            </w:r>
          </w:p>
        </w:tc>
        <w:tc>
          <w:tcPr>
            <w:tcW w:w="0" w:type="dxa"/>
            <w:vAlign w:val="bottom"/>
          </w:tcPr>
          <w:p>
            <w:pPr>
              <w:spacing w:after="0"/>
              <w:rPr>
                <w:sz w:val="1"/>
                <w:szCs w:val="1"/>
                <w:color w:val="auto"/>
              </w:rPr>
            </w:pPr>
          </w:p>
        </w:tc>
      </w:tr>
      <w:tr>
        <w:trPr>
          <w:trHeight w:val="311"/>
        </w:trPr>
        <w:tc>
          <w:tcPr>
            <w:tcW w:w="2420" w:type="dxa"/>
            <w:vAlign w:val="bottom"/>
          </w:tcPr>
          <w:p>
            <w:pPr>
              <w:spacing w:after="0"/>
              <w:rPr>
                <w:sz w:val="20"/>
                <w:szCs w:val="20"/>
                <w:color w:val="auto"/>
              </w:rPr>
            </w:pPr>
            <w:r>
              <w:rPr>
                <w:rFonts w:ascii="Courier New" w:cs="Courier New" w:eastAsia="Courier New" w:hAnsi="Courier New"/>
                <w:sz w:val="18"/>
                <w:szCs w:val="18"/>
                <w:color w:val="auto"/>
              </w:rPr>
              <w:t>Paul Woolard</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Business Consultant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116 East 68th Street</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4"/>
                <w:szCs w:val="24"/>
                <w:color w:val="auto"/>
              </w:rPr>
            </w:pPr>
          </w:p>
        </w:tc>
        <w:tc>
          <w:tcPr>
            <w:tcW w:w="2640" w:type="dxa"/>
            <w:vAlign w:val="bottom"/>
          </w:tcPr>
          <w:p>
            <w:pPr>
              <w:ind w:left="740"/>
              <w:spacing w:after="0"/>
              <w:rPr>
                <w:sz w:val="20"/>
                <w:szCs w:val="20"/>
                <w:color w:val="auto"/>
              </w:rPr>
            </w:pPr>
            <w:r>
              <w:rPr>
                <w:rFonts w:ascii="Courier New" w:cs="Courier New" w:eastAsia="Courier New" w:hAnsi="Courier New"/>
                <w:sz w:val="18"/>
                <w:szCs w:val="18"/>
                <w:color w:val="auto"/>
                <w:w w:val="96"/>
              </w:rPr>
              <w:t>New York, NY 10021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20" w:type="dxa"/>
            <w:vAlign w:val="bottom"/>
          </w:tcPr>
          <w:p>
            <w:pPr>
              <w:spacing w:after="0"/>
              <w:rPr>
                <w:sz w:val="20"/>
                <w:szCs w:val="20"/>
                <w:color w:val="auto"/>
              </w:rPr>
            </w:pPr>
            <w:r>
              <w:rPr>
                <w:rFonts w:ascii="Courier New" w:cs="Courier New" w:eastAsia="Courier New" w:hAnsi="Courier New"/>
                <w:sz w:val="18"/>
                <w:szCs w:val="18"/>
                <w:color w:val="auto"/>
              </w:rPr>
              <w:t>E. Val Cerutti</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Business Consultant</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Cerutti Consultants</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227 McLain Street</w:t>
            </w:r>
          </w:p>
        </w:tc>
        <w:tc>
          <w:tcPr>
            <w:tcW w:w="114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2"/>
              </w:rPr>
              <w:t>10549</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4"/>
                <w:szCs w:val="24"/>
                <w:color w:val="auto"/>
              </w:rPr>
            </w:pPr>
          </w:p>
        </w:tc>
        <w:tc>
          <w:tcPr>
            <w:tcW w:w="2640" w:type="dxa"/>
            <w:vAlign w:val="bottom"/>
          </w:tcPr>
          <w:p>
            <w:pPr>
              <w:ind w:left="740"/>
              <w:spacing w:after="0"/>
              <w:rPr>
                <w:sz w:val="20"/>
                <w:szCs w:val="20"/>
                <w:color w:val="auto"/>
              </w:rPr>
            </w:pPr>
            <w:r>
              <w:rPr>
                <w:rFonts w:ascii="Courier New" w:cs="Courier New" w:eastAsia="Courier New" w:hAnsi="Courier New"/>
                <w:sz w:val="18"/>
                <w:szCs w:val="18"/>
                <w:color w:val="auto"/>
              </w:rPr>
              <w:t>Mount Kisco, NY</w:t>
            </w: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Ralph R. Papitto</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of the Board</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AFC Cable Systems, Inc.</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50 Kennedy Plaza</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1250</w:t>
            </w:r>
          </w:p>
        </w:tc>
        <w:tc>
          <w:tcPr>
            <w:tcW w:w="17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02903</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w w:val="95"/>
              </w:rPr>
              <w:t>Providence, RI</w:t>
            </w: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Salvatore Muoio</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 Muoio &amp; Co., LLC</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655 Third Avenue</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New York, NY 10017</w:t>
            </w:r>
          </w:p>
        </w:tc>
        <w:tc>
          <w:tcPr>
            <w:tcW w:w="0" w:type="dxa"/>
            <w:vAlign w:val="bottom"/>
          </w:tcPr>
          <w:p>
            <w:pPr>
              <w:spacing w:after="0"/>
              <w:rPr>
                <w:sz w:val="1"/>
                <w:szCs w:val="1"/>
                <w:color w:val="auto"/>
              </w:rPr>
            </w:pPr>
          </w:p>
        </w:tc>
      </w:tr>
      <w:tr>
        <w:trPr>
          <w:trHeight w:val="311"/>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John C. Ferrara</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110 Edward Place</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Stamford, CT</w:t>
            </w:r>
          </w:p>
        </w:tc>
        <w:tc>
          <w:tcPr>
            <w:tcW w:w="170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6"/>
              </w:rPr>
              <w:t>06905</w:t>
            </w:r>
          </w:p>
        </w:tc>
        <w:tc>
          <w:tcPr>
            <w:tcW w:w="0" w:type="dxa"/>
            <w:vAlign w:val="bottom"/>
          </w:tcPr>
          <w:p>
            <w:pPr>
              <w:spacing w:after="0"/>
              <w:rPr>
                <w:sz w:val="1"/>
                <w:szCs w:val="1"/>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Mario J. Gabelli</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 Executive</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Officer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Joseph H. Epel</w:t>
            </w: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rPr>
              <w:t>Treasurer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Chief Financial Officer</w:t>
            </w:r>
          </w:p>
        </w:tc>
        <w:tc>
          <w:tcPr>
            <w:tcW w:w="0" w:type="dxa"/>
            <w:vAlign w:val="bottom"/>
          </w:tcPr>
          <w:p>
            <w:pPr>
              <w:spacing w:after="0"/>
              <w:rPr>
                <w:sz w:val="1"/>
                <w:szCs w:val="1"/>
                <w:color w:val="auto"/>
              </w:rPr>
            </w:pPr>
          </w:p>
        </w:tc>
      </w:tr>
      <w:tr>
        <w:trPr>
          <w:trHeight w:val="405"/>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Carmine Ceraolo</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Assistant Controller</w:t>
            </w:r>
          </w:p>
        </w:tc>
        <w:tc>
          <w:tcPr>
            <w:tcW w:w="0" w:type="dxa"/>
            <w:vAlign w:val="bottom"/>
          </w:tcPr>
          <w:p>
            <w:pPr>
              <w:spacing w:after="0"/>
              <w:rPr>
                <w:sz w:val="1"/>
                <w:szCs w:val="1"/>
                <w:color w:val="auto"/>
              </w:rPr>
            </w:pPr>
          </w:p>
        </w:tc>
      </w:tr>
      <w:tr>
        <w:trPr>
          <w:trHeight w:val="311"/>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6"/>
              </w:rPr>
              <w:t>Vice President-Administration,</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Secretary and General Counsel</w:t>
            </w:r>
          </w:p>
        </w:tc>
        <w:tc>
          <w:tcPr>
            <w:tcW w:w="0" w:type="dxa"/>
            <w:vAlign w:val="bottom"/>
          </w:tcPr>
          <w:p>
            <w:pPr>
              <w:spacing w:after="0"/>
              <w:rPr>
                <w:sz w:val="1"/>
                <w:szCs w:val="1"/>
                <w:color w:val="auto"/>
              </w:rPr>
            </w:pPr>
          </w:p>
        </w:tc>
      </w:tr>
      <w:tr>
        <w:trPr>
          <w:trHeight w:val="514"/>
        </w:trPr>
        <w:tc>
          <w:tcPr>
            <w:tcW w:w="3220" w:type="dxa"/>
            <w:vAlign w:val="bottom"/>
          </w:tcPr>
          <w:p>
            <w:pPr>
              <w:spacing w:after="0"/>
              <w:rPr>
                <w:sz w:val="20"/>
                <w:szCs w:val="20"/>
                <w:color w:val="auto"/>
              </w:rPr>
            </w:pPr>
            <w:r>
              <w:rPr>
                <w:rFonts w:ascii="Courier New" w:cs="Courier New" w:eastAsia="Courier New" w:hAnsi="Courier New"/>
                <w:sz w:val="18"/>
                <w:szCs w:val="18"/>
                <w:color w:val="auto"/>
              </w:rPr>
              <w:t>Spinnaker Industries, Inc.</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600 N. Pearl Street</w:t>
            </w: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2160</w:t>
            </w:r>
          </w:p>
        </w:tc>
        <w:tc>
          <w:tcPr>
            <w:tcW w:w="1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Dallas, TX  75201</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Joseph P. Rhein</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5003 Central Avenue</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w w:val="95"/>
              </w:rPr>
              <w:t>Ocean City, NJ</w:t>
            </w:r>
          </w:p>
        </w:tc>
        <w:tc>
          <w:tcPr>
            <w:tcW w:w="17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08226</w:t>
            </w:r>
          </w:p>
        </w:tc>
        <w:tc>
          <w:tcPr>
            <w:tcW w:w="0" w:type="dxa"/>
            <w:vAlign w:val="bottom"/>
          </w:tcPr>
          <w:p>
            <w:pPr>
              <w:spacing w:after="0"/>
              <w:rPr>
                <w:sz w:val="1"/>
                <w:szCs w:val="1"/>
                <w:color w:val="auto"/>
              </w:rPr>
            </w:pPr>
          </w:p>
        </w:tc>
      </w:tr>
      <w:tr>
        <w:trPr>
          <w:trHeight w:val="311"/>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Richard J. Boyle</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The Boyle Group, Inc.</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6110 Blue Circle Drive</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250</w:t>
            </w:r>
          </w:p>
        </w:tc>
        <w:tc>
          <w:tcPr>
            <w:tcW w:w="1700" w:type="dxa"/>
            <w:vAlign w:val="bottom"/>
            <w:vMerge w:val="restart"/>
          </w:tcPr>
          <w:p>
            <w:pPr>
              <w:jc w:val="right"/>
              <w:ind w:right="872"/>
              <w:spacing w:after="0"/>
              <w:rPr>
                <w:sz w:val="20"/>
                <w:szCs w:val="20"/>
                <w:color w:val="auto"/>
              </w:rPr>
            </w:pPr>
            <w:r>
              <w:rPr>
                <w:rFonts w:ascii="Courier New" w:cs="Courier New" w:eastAsia="Courier New" w:hAnsi="Courier New"/>
                <w:sz w:val="18"/>
                <w:szCs w:val="18"/>
                <w:color w:val="auto"/>
              </w:rPr>
              <w:t>55343</w:t>
            </w: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1940" w:type="dxa"/>
            <w:vAlign w:val="bottom"/>
          </w:tcPr>
          <w:p>
            <w:pPr>
              <w:ind w:left="480"/>
              <w:spacing w:after="0"/>
              <w:rPr>
                <w:sz w:val="20"/>
                <w:szCs w:val="20"/>
                <w:color w:val="auto"/>
              </w:rPr>
            </w:pPr>
            <w:r>
              <w:rPr>
                <w:rFonts w:ascii="Courier New" w:cs="Courier New" w:eastAsia="Courier New" w:hAnsi="Courier New"/>
                <w:sz w:val="18"/>
                <w:szCs w:val="18"/>
                <w:color w:val="auto"/>
                <w:w w:val="95"/>
              </w:rPr>
              <w:t>Minnetonka, MN</w:t>
            </w:r>
          </w:p>
        </w:tc>
        <w:tc>
          <w:tcPr>
            <w:tcW w:w="1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Boyle, Fleming,</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George &amp; Co., Inc.</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3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600 N. Pearl Street</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Suite 2160</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tcPr>
          <w:p>
            <w:pPr>
              <w:spacing w:after="0"/>
              <w:rPr>
                <w:sz w:val="24"/>
                <w:szCs w:val="24"/>
                <w:color w:val="auto"/>
              </w:rPr>
            </w:pP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Dallas, TX  75201</w:t>
            </w:r>
          </w:p>
        </w:tc>
        <w:tc>
          <w:tcPr>
            <w:tcW w:w="0" w:type="dxa"/>
            <w:vAlign w:val="bottom"/>
          </w:tcPr>
          <w:p>
            <w:pPr>
              <w:spacing w:after="0"/>
              <w:rPr>
                <w:sz w:val="1"/>
                <w:szCs w:val="1"/>
                <w:color w:val="auto"/>
              </w:rPr>
            </w:pPr>
          </w:p>
        </w:tc>
      </w:tr>
      <w:tr>
        <w:trPr>
          <w:trHeight w:val="608"/>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See above Lynch Corporation</w:t>
            </w:r>
          </w:p>
        </w:tc>
        <w:tc>
          <w:tcPr>
            <w:tcW w:w="0" w:type="dxa"/>
            <w:vAlign w:val="bottom"/>
          </w:tcPr>
          <w:p>
            <w:pPr>
              <w:spacing w:after="0"/>
              <w:rPr>
                <w:sz w:val="1"/>
                <w:szCs w:val="1"/>
                <w:color w:val="auto"/>
              </w:rPr>
            </w:pPr>
          </w:p>
        </w:tc>
      </w:tr>
      <w:tr>
        <w:trPr>
          <w:trHeight w:val="514"/>
        </w:trPr>
        <w:tc>
          <w:tcPr>
            <w:tcW w:w="3220" w:type="dxa"/>
            <w:vAlign w:val="bottom"/>
          </w:tcPr>
          <w:p>
            <w:pPr>
              <w:ind w:left="540"/>
              <w:spacing w:after="0"/>
              <w:rPr>
                <w:sz w:val="20"/>
                <w:szCs w:val="20"/>
                <w:color w:val="auto"/>
              </w:rPr>
            </w:pPr>
            <w:r>
              <w:rPr>
                <w:rFonts w:ascii="Courier New" w:cs="Courier New" w:eastAsia="Courier New" w:hAnsi="Courier New"/>
                <w:sz w:val="18"/>
                <w:szCs w:val="18"/>
                <w:color w:val="auto"/>
              </w:rPr>
              <w:t>Anthonie C. van Ekris</w:t>
            </w: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Chairman and Chief</w:t>
            </w:r>
          </w:p>
        </w:tc>
        <w:tc>
          <w:tcPr>
            <w:tcW w:w="0" w:type="dxa"/>
            <w:vAlign w:val="bottom"/>
          </w:tcPr>
          <w:p>
            <w:pPr>
              <w:spacing w:after="0"/>
              <w:rPr>
                <w:sz w:val="1"/>
                <w:szCs w:val="1"/>
                <w:color w:val="auto"/>
              </w:rPr>
            </w:pPr>
          </w:p>
        </w:tc>
      </w:tr>
      <w:tr>
        <w:trPr>
          <w:trHeight w:val="235"/>
        </w:trPr>
        <w:tc>
          <w:tcPr>
            <w:tcW w:w="3220" w:type="dxa"/>
            <w:vAlign w:val="bottom"/>
          </w:tcPr>
          <w:p>
            <w:pPr>
              <w:spacing w:after="0"/>
              <w:rPr>
                <w:sz w:val="20"/>
                <w:szCs w:val="20"/>
                <w:color w:val="auto"/>
              </w:rPr>
            </w:pPr>
          </w:p>
        </w:tc>
        <w:tc>
          <w:tcPr>
            <w:tcW w:w="364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Executive Officer</w:t>
            </w:r>
          </w:p>
        </w:tc>
        <w:tc>
          <w:tcPr>
            <w:tcW w:w="0" w:type="dxa"/>
            <w:vAlign w:val="bottom"/>
          </w:tcPr>
          <w:p>
            <w:pPr>
              <w:spacing w:after="0"/>
              <w:rPr>
                <w:sz w:val="1"/>
                <w:szCs w:val="1"/>
                <w:color w:val="auto"/>
              </w:rPr>
            </w:pPr>
          </w:p>
        </w:tc>
      </w:tr>
    </w:tbl>
    <w:p>
      <w:pPr>
        <w:ind w:left="3700"/>
        <w:spacing w:after="0" w:line="238" w:lineRule="auto"/>
        <w:rPr>
          <w:sz w:val="20"/>
          <w:szCs w:val="20"/>
          <w:color w:val="auto"/>
        </w:rPr>
      </w:pPr>
      <w:r>
        <w:rPr>
          <w:rFonts w:ascii="Courier New" w:cs="Courier New" w:eastAsia="Courier New" w:hAnsi="Courier New"/>
          <w:sz w:val="18"/>
          <w:szCs w:val="18"/>
          <w:color w:val="auto"/>
        </w:rPr>
        <w:t>Balmac International, Inc.</w:t>
      </w:r>
    </w:p>
    <w:p>
      <w:pPr>
        <w:ind w:left="3700"/>
        <w:spacing w:after="0"/>
        <w:rPr>
          <w:sz w:val="20"/>
          <w:szCs w:val="20"/>
          <w:color w:val="auto"/>
        </w:rPr>
      </w:pPr>
      <w:r>
        <w:rPr>
          <w:rFonts w:ascii="Courier New" w:cs="Courier New" w:eastAsia="Courier New" w:hAnsi="Courier New"/>
          <w:sz w:val="18"/>
          <w:szCs w:val="18"/>
          <w:color w:val="auto"/>
        </w:rPr>
        <w:t>61 Broadway</w:t>
      </w:r>
    </w:p>
    <w:p>
      <w:pPr>
        <w:sectPr>
          <w:pgSz w:w="11900" w:h="16838" w:orient="portrait"/>
          <w:cols w:equalWidth="0" w:num="1">
            <w:col w:w="10219"/>
          </w:cols>
          <w:pgMar w:left="240" w:top="108" w:right="1440"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Suite 1900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10006</w:t>
            </w:r>
          </w:p>
        </w:tc>
        <w:tc>
          <w:tcPr>
            <w:tcW w:w="0" w:type="dxa"/>
            <w:vAlign w:val="bottom"/>
          </w:tcPr>
          <w:p>
            <w:pPr>
              <w:spacing w:after="0"/>
              <w:rPr>
                <w:sz w:val="1"/>
                <w:szCs w:val="1"/>
                <w:color w:val="auto"/>
              </w:rPr>
            </w:pPr>
          </w:p>
        </w:tc>
      </w:tr>
      <w:tr>
        <w:trPr>
          <w:trHeight w:val="296"/>
        </w:trPr>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Officers:</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New York, NY</w:t>
            </w: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James W. Toman</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Controller</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President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Richard J. Boyle</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Chairman and</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Chief Executive Officer</w:t>
            </w: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Secretary</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Vice President, Corporate</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Development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Entoleter, Inc.</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251 Welton Street</w:t>
            </w:r>
          </w:p>
        </w:tc>
        <w:tc>
          <w:tcPr>
            <w:tcW w:w="2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Hamden, CT  06517</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Ned N. Fleming, III</w:t>
            </w: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See above-Spinnaker</w:t>
            </w: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Mark A. Matteson</w:t>
            </w: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See above-Spinnaker</w:t>
            </w: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James W. Toman</w:t>
            </w: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See above-Spinnaker</w:t>
            </w: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See above Entoleter</w:t>
            </w:r>
          </w:p>
        </w:tc>
        <w:tc>
          <w:tcPr>
            <w:tcW w:w="0" w:type="dxa"/>
            <w:vAlign w:val="bottom"/>
          </w:tcPr>
          <w:p>
            <w:pPr>
              <w:spacing w:after="0"/>
              <w:rPr>
                <w:sz w:val="1"/>
                <w:szCs w:val="1"/>
                <w:color w:val="auto"/>
              </w:rPr>
            </w:pPr>
          </w:p>
        </w:tc>
      </w:tr>
      <w:tr>
        <w:trPr>
          <w:trHeight w:val="311"/>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James Fleming</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230 Saugatuck</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Avenue, Unit 8</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Westport, CT</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06880</w:t>
            </w:r>
          </w:p>
        </w:tc>
        <w:tc>
          <w:tcPr>
            <w:tcW w:w="0" w:type="dxa"/>
            <w:vAlign w:val="bottom"/>
          </w:tcPr>
          <w:p>
            <w:pPr>
              <w:spacing w:after="0"/>
              <w:rPr>
                <w:sz w:val="1"/>
                <w:szCs w:val="1"/>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2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James W. Toman</w:t>
            </w: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Chief Financial Officer</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4"/>
                <w:szCs w:val="24"/>
                <w:color w:val="auto"/>
              </w:rPr>
            </w:pP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and Secretary</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Robert P. Wentzel</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President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Anthony R. Massaro</w:t>
            </w:r>
          </w:p>
        </w:tc>
        <w:tc>
          <w:tcPr>
            <w:tcW w:w="35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6"/>
              </w:rPr>
              <w:t>Vice President-Manufacturing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Western New Mexico Telephone Company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314 Yankee Street</w:t>
      </w:r>
    </w:p>
    <w:p>
      <w:pPr>
        <w:spacing w:after="0"/>
        <w:tabs>
          <w:tab w:leader="none" w:pos="1780" w:val="left"/>
        </w:tabs>
        <w:rPr>
          <w:sz w:val="20"/>
          <w:szCs w:val="20"/>
          <w:color w:val="auto"/>
        </w:rPr>
      </w:pPr>
      <w:r>
        <w:rPr>
          <w:rFonts w:ascii="Courier New" w:cs="Courier New" w:eastAsia="Courier New" w:hAnsi="Courier New"/>
          <w:sz w:val="18"/>
          <w:szCs w:val="18"/>
          <w:color w:val="auto"/>
        </w:rPr>
        <w:t>Silver City, NM</w:t>
      </w:r>
      <w:r>
        <w:rPr>
          <w:sz w:val="20"/>
          <w:szCs w:val="20"/>
          <w:color w:val="auto"/>
        </w:rPr>
        <w:tab/>
      </w:r>
      <w:r>
        <w:rPr>
          <w:rFonts w:ascii="Courier New" w:cs="Courier New" w:eastAsia="Courier New" w:hAnsi="Courier New"/>
          <w:sz w:val="16"/>
          <w:szCs w:val="16"/>
          <w:color w:val="auto"/>
        </w:rPr>
        <w:t>88062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108" w:right="1440" w:bottom="0" w:gutter="0" w:footer="0" w:header="0"/>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C. Keen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W. Keen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Dr. Brian E. Gordon</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Mary Beth Baxter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E. Dolan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A. Hurwich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Carmine Ceraolo</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&amp; Treasurer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above-Lynch Corporation</w:t>
      </w:r>
    </w:p>
    <w:p>
      <w:pPr>
        <w:spacing w:after="0" w:line="222" w:lineRule="exact"/>
        <w:rPr>
          <w:sz w:val="20"/>
          <w:szCs w:val="20"/>
          <w:color w:val="auto"/>
        </w:rPr>
      </w:pPr>
    </w:p>
    <w:p>
      <w:pPr>
        <w:sectPr>
          <w:pgSz w:w="11900" w:h="16838" w:orient="portrait"/>
          <w:cols w:equalWidth="0" w:num="2">
            <w:col w:w="2980" w:space="720"/>
            <w:col w:w="6519"/>
          </w:cols>
          <w:pgMar w:left="240" w:top="108"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08"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C. Keen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W. Keen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Jack L. Bentley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Dr. Brian E. Gordon</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Charles M. Baxter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Mary Beth Baxter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 Vice President-Operations</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 &amp; Treasurer</w:t>
      </w:r>
    </w:p>
    <w:p>
      <w:pPr>
        <w:sectPr>
          <w:pgSz w:w="11900" w:h="16838" w:orient="portrait"/>
          <w:cols w:equalWidth="0" w:num="2">
            <w:col w:w="2980" w:space="720"/>
            <w:col w:w="6519"/>
          </w:cols>
          <w:pgMar w:left="240" w:top="108" w:right="1440"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96"/>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Assistant Treasurer</w:t>
            </w:r>
          </w:p>
        </w:tc>
        <w:tc>
          <w:tcPr>
            <w:tcW w:w="0" w:type="dxa"/>
            <w:vAlign w:val="bottom"/>
          </w:tcPr>
          <w:p>
            <w:pPr>
              <w:spacing w:after="0"/>
              <w:rPr>
                <w:sz w:val="1"/>
                <w:szCs w:val="1"/>
                <w:color w:val="auto"/>
              </w:rPr>
            </w:pPr>
          </w:p>
        </w:tc>
      </w:tr>
      <w:tr>
        <w:trPr>
          <w:trHeight w:val="514"/>
        </w:trPr>
        <w:tc>
          <w:tcPr>
            <w:tcW w:w="3580" w:type="dxa"/>
            <w:vAlign w:val="bottom"/>
          </w:tcPr>
          <w:p>
            <w:pPr>
              <w:spacing w:after="0"/>
              <w:rPr>
                <w:sz w:val="20"/>
                <w:szCs w:val="20"/>
                <w:color w:val="auto"/>
              </w:rPr>
            </w:pPr>
            <w:r>
              <w:rPr>
                <w:rFonts w:ascii="Courier New" w:cs="Courier New" w:eastAsia="Courier New" w:hAnsi="Courier New"/>
                <w:sz w:val="18"/>
                <w:szCs w:val="18"/>
                <w:color w:val="auto"/>
                <w:w w:val="99"/>
              </w:rPr>
              <w:t>Inter-Community Telephone Company</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P.O. Box A</w:t>
            </w: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Nome, ND  58062</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Mary J. Carroll</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See above-Lynch Corporation</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Carmine P. Ceraolo</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See above-Lynch Corporation</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E. Dolan</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See above-Lynch Corporation</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Joseph H. Epel</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See above-Lynch Corporation</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See above-Lynch Corporation</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Leone A. Nilsen</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President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Roger J. Nilsen</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P.O. Box 146</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Hannaford, ND 58448</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Duane A. Plecity</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Secretary</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Harry B. Snyder</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P.O. Box 131</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58011</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Buffalo, ND</w:t>
            </w:r>
          </w:p>
        </w:tc>
        <w:tc>
          <w:tcPr>
            <w:tcW w:w="1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Snyder</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200 Broadway</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South</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Buffalo, ND</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58011</w:t>
            </w: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Officers:</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Leone A. Nilsen</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President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Snyder</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Vice President</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Duane A. Plecity</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Secretary</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Harry B. Snyder</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Treasurer</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Joseph H. Epel</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Assistant Treasurer</w:t>
            </w:r>
          </w:p>
        </w:tc>
        <w:tc>
          <w:tcPr>
            <w:tcW w:w="0" w:type="dxa"/>
            <w:vAlign w:val="bottom"/>
          </w:tcPr>
          <w:p>
            <w:pPr>
              <w:spacing w:after="0"/>
              <w:rPr>
                <w:sz w:val="1"/>
                <w:szCs w:val="1"/>
                <w:color w:val="auto"/>
              </w:rPr>
            </w:pPr>
          </w:p>
        </w:tc>
      </w:tr>
      <w:tr>
        <w:trPr>
          <w:trHeight w:val="405"/>
        </w:trPr>
        <w:tc>
          <w:tcPr>
            <w:tcW w:w="3580" w:type="dxa"/>
            <w:vAlign w:val="bottom"/>
          </w:tcPr>
          <w:p>
            <w:pPr>
              <w:ind w:left="540"/>
              <w:spacing w:after="0"/>
              <w:rPr>
                <w:sz w:val="20"/>
                <w:szCs w:val="20"/>
                <w:color w:val="auto"/>
              </w:rPr>
            </w:pPr>
            <w:r>
              <w:rPr>
                <w:rFonts w:ascii="Courier New" w:cs="Courier New" w:eastAsia="Courier New" w:hAnsi="Courier New"/>
                <w:sz w:val="18"/>
                <w:szCs w:val="18"/>
                <w:color w:val="auto"/>
              </w:rPr>
              <w:t>Robert A. Hurwich</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Assistant Secretary</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Lynch Telecommunications Corporation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Sound Shore Drive</w:t>
      </w:r>
    </w:p>
    <w:p>
      <w:pPr>
        <w:spacing w:after="0"/>
        <w:tabs>
          <w:tab w:leader="none" w:pos="1560" w:val="left"/>
        </w:tabs>
        <w:rPr>
          <w:sz w:val="20"/>
          <w:szCs w:val="20"/>
          <w:color w:val="auto"/>
        </w:rPr>
      </w:pPr>
      <w:r>
        <w:rPr>
          <w:rFonts w:ascii="Courier New" w:cs="Courier New" w:eastAsia="Courier New" w:hAnsi="Courier New"/>
          <w:sz w:val="18"/>
          <w:szCs w:val="18"/>
          <w:color w:val="auto"/>
        </w:rPr>
        <w:t>Greenwich, CT</w:t>
        <w:tab/>
        <w:t>06830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312" w:right="1440" w:bottom="0" w:gutter="0" w:footer="0" w:header="0"/>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Richard A. Kiesling</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2801 International Lane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Suite 207</w:t>
      </w:r>
    </w:p>
    <w:p>
      <w:pPr>
        <w:spacing w:after="0"/>
        <w:tabs>
          <w:tab w:leader="none" w:pos="1340" w:val="left"/>
        </w:tabs>
        <w:rPr>
          <w:sz w:val="20"/>
          <w:szCs w:val="20"/>
          <w:color w:val="auto"/>
        </w:rPr>
      </w:pPr>
      <w:r>
        <w:rPr>
          <w:rFonts w:ascii="Courier New" w:cs="Courier New" w:eastAsia="Courier New" w:hAnsi="Courier New"/>
          <w:sz w:val="18"/>
          <w:szCs w:val="18"/>
          <w:color w:val="auto"/>
        </w:rPr>
        <w:t>Madison, WI</w:t>
        <w:tab/>
        <w:t>53740</w:t>
      </w:r>
    </w:p>
    <w:p>
      <w:pPr>
        <w:spacing w:after="0" w:line="169" w:lineRule="exact"/>
        <w:rPr>
          <w:sz w:val="20"/>
          <w:szCs w:val="20"/>
          <w:color w:val="auto"/>
        </w:rPr>
      </w:pPr>
    </w:p>
    <w:p>
      <w:pPr>
        <w:sectPr>
          <w:pgSz w:w="11900" w:h="16838" w:orient="portrait"/>
          <w:cols w:equalWidth="0" w:num="2">
            <w:col w:w="2980" w:space="720"/>
            <w:col w:w="6519"/>
          </w:cols>
          <w:pgMar w:left="240" w:top="312"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Jack C. Keen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above-Western New Mexico</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Telephone Company</w:t>
      </w:r>
    </w:p>
    <w:p>
      <w:pPr>
        <w:spacing w:after="0" w:line="169" w:lineRule="exact"/>
        <w:rPr>
          <w:sz w:val="20"/>
          <w:szCs w:val="20"/>
          <w:color w:val="auto"/>
        </w:rPr>
      </w:pPr>
    </w:p>
    <w:p>
      <w:pPr>
        <w:sectPr>
          <w:pgSz w:w="11900" w:h="16838" w:orient="portrait"/>
          <w:cols w:equalWidth="0" w:num="2">
            <w:col w:w="2980" w:space="720"/>
            <w:col w:w="6519"/>
          </w:cols>
          <w:pgMar w:left="240" w:top="312"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Robert A.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above-Inter-Community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Telephone Company</w:t>
      </w:r>
    </w:p>
    <w:p>
      <w:pPr>
        <w:spacing w:after="0" w:line="169" w:lineRule="exact"/>
        <w:rPr>
          <w:sz w:val="20"/>
          <w:szCs w:val="20"/>
          <w:color w:val="auto"/>
        </w:rPr>
      </w:pPr>
    </w:p>
    <w:p>
      <w:pPr>
        <w:sectPr>
          <w:pgSz w:w="11900" w:h="16838" w:orient="portrait"/>
          <w:cols w:equalWidth="0" w:num="2">
            <w:col w:w="2980" w:space="720"/>
            <w:col w:w="6519"/>
          </w:cols>
          <w:pgMar w:left="240" w:top="31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312" w:right="1440" w:bottom="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312" w:right="1440" w:bottom="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Mary Beth Baxter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Treasurer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192" w:lineRule="exact"/>
        <w:rPr>
          <w:sz w:val="20"/>
          <w:szCs w:val="20"/>
          <w:color w:val="auto"/>
        </w:rPr>
      </w:pPr>
    </w:p>
    <w:p>
      <w:pPr>
        <w:sectPr>
          <w:pgSz w:w="11900" w:h="16838" w:orient="portrait"/>
          <w:cols w:equalWidth="0" w:num="2">
            <w:col w:w="2980" w:space="720"/>
            <w:col w:w="6519"/>
          </w:cols>
          <w:pgMar w:left="240" w:top="312"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2">
            <w:col w:w="2980" w:space="720"/>
            <w:col w:w="6519"/>
          </w:cols>
          <w:pgMar w:left="240" w:top="31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Lynch Telephone Corporation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Sound Shore Drive</w:t>
      </w:r>
    </w:p>
    <w:p>
      <w:pPr>
        <w:spacing w:after="0"/>
        <w:tabs>
          <w:tab w:leader="none" w:pos="1560" w:val="left"/>
        </w:tabs>
        <w:rPr>
          <w:sz w:val="20"/>
          <w:szCs w:val="20"/>
          <w:color w:val="auto"/>
        </w:rPr>
      </w:pPr>
      <w:r>
        <w:rPr>
          <w:rFonts w:ascii="Courier New" w:cs="Courier New" w:eastAsia="Courier New" w:hAnsi="Courier New"/>
          <w:sz w:val="18"/>
          <w:szCs w:val="18"/>
          <w:color w:val="auto"/>
        </w:rPr>
        <w:t>Greenwich, CT</w:t>
        <w:tab/>
        <w:t>06830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ectPr>
          <w:pgSz w:w="11900" w:h="16838" w:orient="portrait"/>
          <w:cols w:equalWidth="0" w:num="1">
            <w:col w:w="10219"/>
          </w:cols>
          <w:pgMar w:left="240" w:top="312" w:right="1440" w:bottom="0" w:gutter="0" w:footer="0" w:header="0"/>
          <w:type w:val="continuous"/>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Controller</w:t>
      </w:r>
    </w:p>
    <w:p>
      <w:pPr>
        <w:sectPr>
          <w:pgSz w:w="11900" w:h="16838" w:orient="portrait"/>
          <w:cols w:equalWidth="0" w:num="2">
            <w:col w:w="2980" w:space="720"/>
            <w:col w:w="6519"/>
          </w:cols>
          <w:pgMar w:left="240" w:top="312" w:right="1440" w:bottom="0" w:gutter="0" w:footer="0" w:header="0"/>
          <w:type w:val="continuous"/>
        </w:sectPr>
      </w:pPr>
    </w:p>
    <w:bookmarkStart w:id="17" w:name="page18"/>
    <w:bookmarkEnd w:id="17"/>
    <w:p>
      <w:pPr>
        <w:ind w:left="540"/>
        <w:spacing w:after="0"/>
        <w:rPr>
          <w:sz w:val="20"/>
          <w:szCs w:val="20"/>
          <w:color w:val="auto"/>
        </w:rPr>
      </w:pPr>
      <w:r>
        <w:rPr>
          <w:rFonts w:ascii="Courier New" w:cs="Courier New" w:eastAsia="Courier New" w:hAnsi="Courier New"/>
          <w:sz w:val="16"/>
          <w:szCs w:val="16"/>
          <w:color w:val="auto"/>
        </w:rPr>
        <w:t>Jack C. Keen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w:t>
      </w:r>
    </w:p>
    <w:p>
      <w:pPr>
        <w:spacing w:after="0" w:line="200" w:lineRule="exact"/>
        <w:rPr>
          <w:sz w:val="20"/>
          <w:szCs w:val="20"/>
          <w:color w:val="auto"/>
        </w:rPr>
      </w:pPr>
    </w:p>
    <w:p>
      <w:pPr>
        <w:sectPr>
          <w:pgSz w:w="11900" w:h="16838" w:orient="portrait"/>
          <w:cols w:equalWidth="0" w:num="2">
            <w:col w:w="2980" w:space="720"/>
            <w:col w:w="6519"/>
          </w:cols>
          <w:pgMar w:left="240" w:top="110"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ectPr>
          <w:pgSz w:w="11900" w:h="16838" w:orient="portrait"/>
          <w:cols w:equalWidth="0" w:num="1">
            <w:col w:w="10219"/>
          </w:cols>
          <w:pgMar w:left="240" w:top="110" w:right="1440" w:bottom="1440" w:gutter="0" w:footer="0" w:header="0"/>
          <w:type w:val="continuous"/>
        </w:sectPr>
      </w:pP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Jack C. Keen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w:t>
      </w:r>
    </w:p>
    <w:p>
      <w:pPr>
        <w:spacing w:after="0" w:line="200" w:lineRule="exact"/>
        <w:rPr>
          <w:sz w:val="20"/>
          <w:szCs w:val="20"/>
          <w:color w:val="auto"/>
        </w:rPr>
      </w:pPr>
    </w:p>
    <w:p>
      <w:pPr>
        <w:sectPr>
          <w:pgSz w:w="11900" w:h="16838" w:orient="portrait"/>
          <w:cols w:equalWidth="0" w:num="2">
            <w:col w:w="2980" w:space="720"/>
            <w:col w:w="6519"/>
          </w:cols>
          <w:pgMar w:left="240" w:top="110"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Jack W. Keen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2980" w:space="720"/>
            <w:col w:w="6519"/>
          </w:cols>
          <w:pgMar w:left="240" w:top="110"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Robert A. Hurwich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2980" w:space="720"/>
            <w:col w:w="6519"/>
          </w:cols>
          <w:pgMar w:left="240" w:top="110"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Mary Beth Baxter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Treasurer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pacing w:after="0" w:line="192" w:lineRule="exact"/>
        <w:rPr>
          <w:sz w:val="20"/>
          <w:szCs w:val="20"/>
          <w:color w:val="auto"/>
        </w:rPr>
      </w:pPr>
    </w:p>
    <w:p>
      <w:pPr>
        <w:sectPr>
          <w:pgSz w:w="11900" w:h="16838" w:orient="portrait"/>
          <w:cols w:equalWidth="0" w:num="2">
            <w:col w:w="2980" w:space="720"/>
            <w:col w:w="6519"/>
          </w:cols>
          <w:pgMar w:left="240" w:top="110"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Robert E. Dolan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Controller</w:t>
      </w:r>
    </w:p>
    <w:p>
      <w:pPr>
        <w:sectPr>
          <w:pgSz w:w="11900" w:h="16838" w:orient="portrait"/>
          <w:cols w:equalWidth="0" w:num="2">
            <w:col w:w="2980" w:space="720"/>
            <w:col w:w="6519"/>
          </w:cols>
          <w:pgMar w:left="240" w:top="110"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SCHEDULE 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w:t>
      </w:r>
    </w:p>
    <w:p>
      <w:pPr>
        <w:ind w:right="4839"/>
        <w:spacing w:after="0" w:line="378" w:lineRule="auto"/>
        <w:rPr>
          <w:sz w:val="20"/>
          <w:szCs w:val="20"/>
          <w:color w:val="auto"/>
        </w:rPr>
      </w:pPr>
      <w:r>
        <w:rPr>
          <w:rFonts w:ascii="Courier New" w:cs="Courier New" w:eastAsia="Courier New" w:hAnsi="Courier New"/>
          <w:sz w:val="16"/>
          <w:szCs w:val="16"/>
          <w:color w:val="auto"/>
        </w:rPr>
        <w:t>TRANSACTIONS EFFECTED DURING THE PAST SIXTY DAYS OR SINCE THE MOST RECENT FILING ON SCHEDULE 13D (1)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DATE</w:t>
            </w:r>
          </w:p>
        </w:tc>
        <w:tc>
          <w:tcPr>
            <w:tcW w:w="2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 PURCHASED</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AVERAGE</w:t>
            </w:r>
          </w:p>
        </w:tc>
        <w:tc>
          <w:tcPr>
            <w:tcW w:w="0" w:type="dxa"/>
            <w:vAlign w:val="bottom"/>
          </w:tcPr>
          <w:p>
            <w:pPr>
              <w:spacing w:after="0"/>
              <w:rPr>
                <w:sz w:val="1"/>
                <w:szCs w:val="1"/>
                <w:color w:val="auto"/>
              </w:rPr>
            </w:pPr>
          </w:p>
        </w:tc>
      </w:tr>
      <w:tr>
        <w:trPr>
          <w:trHeight w:val="296"/>
        </w:trPr>
        <w:tc>
          <w:tcPr>
            <w:tcW w:w="2380" w:type="dxa"/>
            <w:vAlign w:val="bottom"/>
            <w:vMerge w:val="continue"/>
          </w:tcPr>
          <w:p>
            <w:pPr>
              <w:spacing w:after="0"/>
              <w:rPr>
                <w:sz w:val="24"/>
                <w:szCs w:val="24"/>
                <w:color w:val="auto"/>
              </w:rPr>
            </w:pPr>
          </w:p>
        </w:tc>
        <w:tc>
          <w:tcPr>
            <w:tcW w:w="2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SOLD(-)</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PRICE(2)</w:t>
            </w:r>
          </w:p>
        </w:tc>
        <w:tc>
          <w:tcPr>
            <w:tcW w:w="0" w:type="dxa"/>
            <w:vAlign w:val="bottom"/>
          </w:tcPr>
          <w:p>
            <w:pPr>
              <w:spacing w:after="0"/>
              <w:rPr>
                <w:sz w:val="1"/>
                <w:szCs w:val="1"/>
                <w:color w:val="auto"/>
              </w:rPr>
            </w:pPr>
          </w:p>
        </w:tc>
      </w:tr>
      <w:tr>
        <w:trPr>
          <w:trHeight w:val="405"/>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6"/>
              </w:rPr>
              <w:t>COMMON STOCK-SOUTHWEST</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GAS CORP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GAMCO INVESTORS,</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16.2500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16.7500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4/23/97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16.9375</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16.9375</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17.5875</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17.3125</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17.5880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17.5875</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33,000-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*DO</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17.3625</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*DO</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18.5375</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96"/>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3/25/97</w:t>
            </w:r>
          </w:p>
        </w:tc>
        <w:tc>
          <w:tcPr>
            <w:tcW w:w="2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18.6750</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23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28</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WITH RESPECT TO</w:t>
      </w:r>
    </w:p>
    <w:p>
      <w:pPr>
        <w:ind w:right="4839"/>
        <w:spacing w:after="0" w:line="378" w:lineRule="auto"/>
        <w:rPr>
          <w:sz w:val="20"/>
          <w:szCs w:val="20"/>
          <w:color w:val="auto"/>
        </w:rPr>
      </w:pPr>
      <w:r>
        <w:rPr>
          <w:rFonts w:ascii="Courier New" w:cs="Courier New" w:eastAsia="Courier New" w:hAnsi="Courier New"/>
          <w:sz w:val="16"/>
          <w:szCs w:val="16"/>
          <w:color w:val="auto"/>
        </w:rPr>
        <w:t>TRANSACTIONS EFFECTED DURING THE PAST SIXTY DAYS OR SINCE THE MOST RECENT FILING ON SCHEDULE 13D (1)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DATE</w:t>
            </w:r>
          </w:p>
        </w:tc>
        <w:tc>
          <w:tcPr>
            <w:tcW w:w="2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 PURCHASED</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AVERAGE</w:t>
            </w:r>
          </w:p>
        </w:tc>
        <w:tc>
          <w:tcPr>
            <w:tcW w:w="0" w:type="dxa"/>
            <w:vAlign w:val="bottom"/>
          </w:tcPr>
          <w:p>
            <w:pPr>
              <w:spacing w:after="0"/>
              <w:rPr>
                <w:sz w:val="1"/>
                <w:szCs w:val="1"/>
                <w:color w:val="auto"/>
              </w:rPr>
            </w:pPr>
          </w:p>
        </w:tc>
      </w:tr>
      <w:tr>
        <w:trPr>
          <w:trHeight w:val="296"/>
        </w:trPr>
        <w:tc>
          <w:tcPr>
            <w:tcW w:w="2380" w:type="dxa"/>
            <w:vAlign w:val="bottom"/>
            <w:vMerge w:val="continue"/>
          </w:tcPr>
          <w:p>
            <w:pPr>
              <w:spacing w:after="0"/>
              <w:rPr>
                <w:sz w:val="24"/>
                <w:szCs w:val="24"/>
                <w:color w:val="auto"/>
              </w:rPr>
            </w:pPr>
          </w:p>
        </w:tc>
        <w:tc>
          <w:tcPr>
            <w:tcW w:w="2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SOLD(-)</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rPr>
              <w:t>PRICE(2)</w:t>
            </w:r>
          </w:p>
        </w:tc>
        <w:tc>
          <w:tcPr>
            <w:tcW w:w="0" w:type="dxa"/>
            <w:vAlign w:val="bottom"/>
          </w:tcPr>
          <w:p>
            <w:pPr>
              <w:spacing w:after="0"/>
              <w:rPr>
                <w:sz w:val="1"/>
                <w:szCs w:val="1"/>
                <w:color w:val="auto"/>
              </w:rPr>
            </w:pPr>
          </w:p>
        </w:tc>
      </w:tr>
      <w:tr>
        <w:trPr>
          <w:trHeight w:val="608"/>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6"/>
              </w:rPr>
              <w:t>COMMON STOCK-SOUTHWEST</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GAS CORP</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GAMCO INVESTORS,</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INC.(Continued)</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5,700</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18.3750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*DI</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3/18/97</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18.6250</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18.3977</w:t>
            </w:r>
          </w:p>
        </w:tc>
        <w:tc>
          <w:tcPr>
            <w:tcW w:w="0" w:type="dxa"/>
            <w:vAlign w:val="bottom"/>
          </w:tcPr>
          <w:p>
            <w:pPr>
              <w:spacing w:after="0"/>
              <w:rPr>
                <w:sz w:val="1"/>
                <w:szCs w:val="1"/>
                <w:color w:val="auto"/>
              </w:rPr>
            </w:pPr>
          </w:p>
        </w:tc>
      </w:tr>
      <w:tr>
        <w:trPr>
          <w:trHeight w:val="203"/>
        </w:trPr>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3/14/97</w:t>
            </w:r>
          </w:p>
        </w:tc>
        <w:tc>
          <w:tcPr>
            <w:tcW w:w="2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96"/>
        </w:trPr>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3/13/97</w:t>
            </w:r>
          </w:p>
        </w:tc>
        <w:tc>
          <w:tcPr>
            <w:tcW w:w="2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18.8750</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19" w:name="page20"/>
    <w:bookmarkEnd w:id="19"/>
    <w:p>
      <w:pPr>
        <w:spacing w:after="0" w:line="1" w:lineRule="exact"/>
        <w:rPr>
          <w:sz w:val="20"/>
          <w:szCs w:val="20"/>
          <w:color w:val="auto"/>
        </w:rPr>
      </w:pPr>
    </w:p>
    <w:tbl>
      <w:tblPr>
        <w:tblLayout w:type="fixed"/>
        <w:tblInd w:w="632" w:type="dxa"/>
        <w:tblCellMar>
          <w:top w:w="0" w:type="dxa"/>
          <w:left w:w="0" w:type="dxa"/>
          <w:bottom w:w="0" w:type="dxa"/>
          <w:right w:w="0" w:type="dxa"/>
        </w:tblCellMar>
      </w:tblPr>
      <w:tr>
        <w:trPr>
          <w:trHeight w:val="204"/>
        </w:trPr>
        <w:tc>
          <w:tcPr>
            <w:tcW w:w="29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3/12/97</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1,700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3/11/97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6,800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3/10/97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13,000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18.8462</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3/10/97</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3/10/97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3/07/97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3/06/97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18.7500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3/05/97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3/04/97</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18.6250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3/03/97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9,000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2/28/97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3,300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2/28/97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2/27/97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18.6250</w:t>
            </w:r>
          </w:p>
        </w:tc>
        <w:tc>
          <w:tcPr>
            <w:tcW w:w="0" w:type="dxa"/>
            <w:vAlign w:val="bottom"/>
          </w:tcPr>
          <w:p>
            <w:pPr>
              <w:spacing w:after="0"/>
              <w:rPr>
                <w:sz w:val="1"/>
                <w:szCs w:val="1"/>
                <w:color w:val="auto"/>
              </w:rPr>
            </w:pPr>
          </w:p>
        </w:tc>
      </w:tr>
      <w:tr>
        <w:trPr>
          <w:trHeight w:val="296"/>
        </w:trPr>
        <w:tc>
          <w:tcPr>
            <w:tcW w:w="29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2/27/97</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5,000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18.5000</w:t>
            </w:r>
          </w:p>
        </w:tc>
        <w:tc>
          <w:tcPr>
            <w:tcW w:w="0" w:type="dxa"/>
            <w:vAlign w:val="bottom"/>
          </w:tcPr>
          <w:p>
            <w:pPr>
              <w:spacing w:after="0"/>
              <w:rPr>
                <w:sz w:val="1"/>
                <w:szCs w:val="1"/>
                <w:color w:val="auto"/>
              </w:rPr>
            </w:pPr>
          </w:p>
        </w:tc>
      </w:tr>
      <w:tr>
        <w:trPr>
          <w:trHeight w:val="311"/>
        </w:trPr>
        <w:tc>
          <w:tcPr>
            <w:tcW w:w="294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6"/>
              </w:rPr>
              <w:t>GABELLI FUNDS, INC.</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GABELLI ASSET FUND</w:t>
            </w:r>
          </w:p>
        </w:tc>
        <w:tc>
          <w:tcPr>
            <w:tcW w:w="12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10,000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17.5313</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4/04/97</w:t>
            </w: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3/31/97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5"/>
              </w:rPr>
              <w:t>10,000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17.8000</w:t>
            </w:r>
          </w:p>
        </w:tc>
        <w:tc>
          <w:tcPr>
            <w:tcW w:w="0" w:type="dxa"/>
            <w:vAlign w:val="bottom"/>
          </w:tcPr>
          <w:p>
            <w:pPr>
              <w:spacing w:after="0"/>
              <w:rPr>
                <w:sz w:val="1"/>
                <w:szCs w:val="1"/>
                <w:color w:val="auto"/>
              </w:rPr>
            </w:pPr>
          </w:p>
        </w:tc>
      </w:tr>
      <w:tr>
        <w:trPr>
          <w:trHeight w:val="203"/>
        </w:trPr>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3/27/97</w:t>
            </w: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18.1408</w:t>
            </w:r>
          </w:p>
        </w:tc>
        <w:tc>
          <w:tcPr>
            <w:tcW w:w="0" w:type="dxa"/>
            <w:vAlign w:val="bottom"/>
          </w:tcPr>
          <w:p>
            <w:pPr>
              <w:spacing w:after="0"/>
              <w:rPr>
                <w:sz w:val="1"/>
                <w:szCs w:val="1"/>
                <w:color w:val="auto"/>
              </w:rPr>
            </w:pPr>
          </w:p>
        </w:tc>
      </w:tr>
      <w:tr>
        <w:trPr>
          <w:trHeight w:val="296"/>
        </w:trPr>
        <w:tc>
          <w:tcPr>
            <w:tcW w:w="29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3/10/97</w:t>
            </w:r>
          </w:p>
        </w:tc>
        <w:tc>
          <w:tcPr>
            <w:tcW w:w="12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2,700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18.8000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12" w:right="3679" w:hanging="412"/>
        <w:spacing w:after="0" w:line="257" w:lineRule="auto"/>
        <w:tabs>
          <w:tab w:leader="none" w:pos="4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 STOCK EXCHANGE.</w:t>
      </w:r>
    </w:p>
    <w:p>
      <w:pPr>
        <w:ind w:left="412" w:hanging="412"/>
        <w:spacing w:after="0" w:line="238" w:lineRule="auto"/>
        <w:tabs>
          <w:tab w:leader="none" w:pos="4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ind w:left="412" w:right="4199" w:hanging="412"/>
        <w:spacing w:after="0" w:line="238" w:lineRule="auto"/>
        <w:tabs>
          <w:tab w:leader="none" w:pos="41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IN CHANGE OF DISPOSITIVE POWER AND BENEFICIAL OWNERSHIP.</w:t>
      </w:r>
    </w:p>
    <w:p>
      <w:pPr>
        <w:spacing w:after="0" w:line="1"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29</w:t>
      </w:r>
    </w:p>
    <w:sectPr>
      <w:pgSz w:w="11900" w:h="16838" w:orient="portrait"/>
      <w:cols w:equalWidth="0" w:num="1">
        <w:col w:w="10211"/>
      </w:cols>
      <w:pgMar w:left="248"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lvl w:ilvl="1">
      <w:lvlJc w:val="left"/>
      <w:lvlText w:val="%2"/>
      <w:numFmt w:val="upperLetter"/>
      <w:start w:val="1"/>
    </w:lvl>
  </w:abstractNum>
  <w:abstractNum w:abstractNumId="1">
    <w:nsid w:val="431BD7B7"/>
    <w:multiLevelType w:val="hybridMultilevel"/>
    <w:lvl w:ilvl="0">
      <w:lvlJc w:val="left"/>
      <w:lvlText w:val="(%1)"/>
      <w:numFmt w:val="decimal"/>
      <w:start w:val="3"/>
    </w:lvl>
  </w:abstractNum>
  <w:abstractNum w:abstractNumId="2">
    <w:nsid w:val="3F2DBA31"/>
    <w:multiLevelType w:val="hybridMultilevel"/>
    <w:lvl w:ilvl="0">
      <w:lvlJc w:val="left"/>
      <w:lvlText w:val="(%1)"/>
      <w:numFmt w:val="decimal"/>
      <w:start w:val="5"/>
    </w:lvl>
  </w:abstractNum>
  <w:abstractNum w:abstractNumId="3">
    <w:nsid w:val="7C83E458"/>
    <w:multiLevelType w:val="hybridMultilevel"/>
    <w:lvl w:ilvl="0">
      <w:lvlJc w:val="left"/>
      <w:lvlText w:val="(%1)"/>
      <w:numFmt w:val="decimal"/>
      <w:start w:val="6"/>
    </w:lvl>
  </w:abstractNum>
  <w:abstractNum w:abstractNumId="4">
    <w:nsid w:val="257130A3"/>
    <w:multiLevelType w:val="hybridMultilevel"/>
    <w:lvl w:ilvl="0">
      <w:lvlJc w:val="left"/>
      <w:lvlText w:val="(%1)"/>
      <w:numFmt w:val="decimal"/>
      <w:start w:val="11"/>
    </w:lvl>
  </w:abstractNum>
  <w:abstractNum w:abstractNumId="5">
    <w:nsid w:val="62BBD95A"/>
    <w:multiLevelType w:val="hybridMultilevel"/>
    <w:lvl w:ilvl="0">
      <w:lvlJc w:val="left"/>
      <w:lvlText w:val="(%1)"/>
      <w:numFmt w:val="decimal"/>
      <w:start w:val="14"/>
    </w:lvl>
  </w:abstractNum>
  <w:abstractNum w:abstractNumId="6">
    <w:nsid w:val="436C6125"/>
    <w:multiLevelType w:val="hybridMultilevel"/>
    <w:lvl w:ilvl="0">
      <w:lvlJc w:val="left"/>
      <w:lvlText w:val="(%1)"/>
      <w:numFmt w:val="decimal"/>
      <w:start w:val="1"/>
    </w:lvl>
    <w:lvl w:ilvl="1">
      <w:lvlJc w:val="left"/>
      <w:lvlText w:val="%2"/>
      <w:numFmt w:val="upperLetter"/>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11"/>
    </w:lvl>
  </w:abstractNum>
  <w:abstractNum w:abstractNumId="11">
    <w:nsid w:val="2D1D5AE9"/>
    <w:multiLevelType w:val="hybridMultilevel"/>
    <w:lvl w:ilvl="0">
      <w:lvlJc w:val="left"/>
      <w:lvlText w:val="(%1)"/>
      <w:numFmt w:val="decimal"/>
      <w:start w:val="13"/>
    </w:lvl>
  </w:abstractNum>
  <w:abstractNum w:abstractNumId="12">
    <w:nsid w:val="6763845E"/>
    <w:multiLevelType w:val="hybridMultilevel"/>
    <w:lvl w:ilvl="0">
      <w:lvlJc w:val="left"/>
      <w:lvlText w:val="(%1)"/>
      <w:numFmt w:val="decimal"/>
      <w:start w:val="14"/>
    </w:lvl>
  </w:abstractNum>
  <w:abstractNum w:abstractNumId="13">
    <w:nsid w:val="75A2A8D4"/>
    <w:multiLevelType w:val="hybridMultilevel"/>
    <w:lvl w:ilvl="0">
      <w:lvlJc w:val="left"/>
      <w:lvlText w:val="(%1)"/>
      <w:numFmt w:val="decimal"/>
      <w:start w:val="1"/>
    </w:lvl>
    <w:lvl w:ilvl="1">
      <w:lvlJc w:val="left"/>
      <w:lvlText w:val="%2"/>
      <w:numFmt w:val="upperLetter"/>
      <w:start w:val="1"/>
    </w:lvl>
  </w:abstractNum>
  <w:abstractNum w:abstractNumId="14">
    <w:nsid w:val="8EDBDAB"/>
    <w:multiLevelType w:val="hybridMultilevel"/>
    <w:lvl w:ilvl="0">
      <w:lvlJc w:val="left"/>
      <w:lvlText w:val="(%1)"/>
      <w:numFmt w:val="decimal"/>
      <w:start w:val="3"/>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6"/>
    </w:lvl>
  </w:abstractNum>
  <w:abstractNum w:abstractNumId="17">
    <w:nsid w:val="B03E0C6"/>
    <w:multiLevelType w:val="hybridMultilevel"/>
    <w:lvl w:ilvl="0">
      <w:lvlJc w:val="left"/>
      <w:lvlText w:val="(%1)"/>
      <w:numFmt w:val="decimal"/>
      <w:start w:val="11"/>
    </w:lvl>
  </w:abstractNum>
  <w:abstractNum w:abstractNumId="18">
    <w:nsid w:val="189A769B"/>
    <w:multiLevelType w:val="hybridMultilevel"/>
    <w:lvl w:ilvl="0">
      <w:lvlJc w:val="left"/>
      <w:lvlText w:val="(%1)"/>
      <w:numFmt w:val="decimal"/>
      <w:start w:val="13"/>
    </w:lvl>
  </w:abstractNum>
  <w:abstractNum w:abstractNumId="19">
    <w:nsid w:val="54E49EB4"/>
    <w:multiLevelType w:val="hybridMultilevel"/>
    <w:lvl w:ilvl="0">
      <w:lvlJc w:val="left"/>
      <w:lvlText w:val="(%1)"/>
      <w:numFmt w:val="decimal"/>
      <w:start w:val="14"/>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3"/>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6"/>
    </w:lvl>
  </w:abstractNum>
  <w:abstractNum w:abstractNumId="25">
    <w:nsid w:val="8138641"/>
    <w:multiLevelType w:val="hybridMultilevel"/>
    <w:lvl w:ilvl="0">
      <w:lvlJc w:val="left"/>
      <w:lvlText w:val="(%1)"/>
      <w:numFmt w:val="decimal"/>
      <w:start w:val="11"/>
    </w:lvl>
  </w:abstractNum>
  <w:abstractNum w:abstractNumId="26">
    <w:nsid w:val="1E7FF521"/>
    <w:multiLevelType w:val="hybridMultilevel"/>
    <w:lvl w:ilvl="0">
      <w:lvlJc w:val="left"/>
      <w:lvlText w:val="(%1)"/>
      <w:numFmt w:val="decimal"/>
      <w:start w:val="14"/>
    </w:lvl>
  </w:abstractNum>
  <w:abstractNum w:abstractNumId="27">
    <w:nsid w:val="7C3DBD3D"/>
    <w:multiLevelType w:val="hybridMultilevel"/>
    <w:lvl w:ilvl="0">
      <w:lvlJc w:val="left"/>
      <w:lvlText w:val="&amp;"/>
      <w:numFmt w:val="bullet"/>
      <w:start w:val="1"/>
    </w:lvl>
    <w:lvl w:ilvl="1">
      <w:lvlJc w:val="left"/>
      <w:lvlText w:val="%2"/>
      <w:numFmt w:val="lowerLetter"/>
      <w:start w:val="1"/>
    </w:lvl>
    <w:lvl w:ilvl="2">
      <w:lvlJc w:val="left"/>
      <w:lvlText w:val="(%3)"/>
      <w:numFmt w:val="lowerLetter"/>
      <w:start w:val="4"/>
    </w:lvl>
  </w:abstractNum>
  <w:abstractNum w:abstractNumId="28">
    <w:nsid w:val="737B8DDC"/>
    <w:multiLevelType w:val="hybridMultilevel"/>
    <w:lvl w:ilvl="0">
      <w:lvlJc w:val="left"/>
      <w:lvlText w:val="&amp;"/>
      <w:numFmt w:val="bullet"/>
      <w:start w:val="1"/>
    </w:lvl>
    <w:lvl w:ilvl="1">
      <w:lvlJc w:val="left"/>
      <w:lvlText w:val="(%2)"/>
      <w:numFmt w:val="lowerLetter"/>
      <w:start w:val="6"/>
    </w:lvl>
    <w:lvl w:ilvl="2">
      <w:lvlJc w:val="left"/>
      <w:lvlText w:val="%3"/>
      <w:numFmt w:val="lowerLetter"/>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2019-12-13T07:19:36Z</dcterms:created>
  <dcterms:modified xsi:type="dcterms:W3CDTF">2019-12-13T07:19:36Z</dcterms:modified>
</cp:coreProperties>
</file>