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(Amendment No. 29)</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Southwest Gas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$1.00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w:t>
      </w:r>
      <w:r>
        <w:rPr>
          <w:rFonts w:ascii="Arial" w:cs="Arial" w:eastAsia="Arial" w:hAnsi="Arial"/>
          <w:sz w:val="18"/>
          <w:szCs w:val="18"/>
          <w:u w:val="single" w:color="auto"/>
          <w:color w:val="auto"/>
        </w:rPr>
        <w:t>844895102</w:t>
      </w:r>
      <w:r>
        <w:rPr>
          <w:rFonts w:ascii="Arial" w:cs="Arial" w:eastAsia="Arial" w:hAnsi="Arial"/>
          <w:sz w:val="18"/>
          <w:szCs w:val="18"/>
          <w:color w:val="auto"/>
        </w:rPr>
        <w:t>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David Goldman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GAMCO Investors,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 Corporate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Rye, New York 10580-1435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(914) 921-5000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8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______________________</w:t>
      </w:r>
      <w:r>
        <w:rPr>
          <w:rFonts w:ascii="Arial" w:cs="Arial" w:eastAsia="Arial" w:hAnsi="Arial"/>
          <w:sz w:val="18"/>
          <w:szCs w:val="18"/>
          <w:u w:val="single" w:color="auto"/>
          <w:color w:val="auto"/>
        </w:rPr>
        <w:t>August 6, 2015</w:t>
      </w:r>
      <w:r>
        <w:rPr>
          <w:rFonts w:ascii="Arial" w:cs="Arial" w:eastAsia="Arial" w:hAnsi="Arial"/>
          <w:sz w:val="18"/>
          <w:szCs w:val="18"/>
          <w:color w:val="auto"/>
        </w:rPr>
        <w:t>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844895102</w:t>
      </w:r>
    </w:p>
    <w:p>
      <w:pPr>
        <w:spacing w:after="0" w:line="23"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40"/>
        <w:spacing w:after="0"/>
        <w:tabs>
          <w:tab w:leader="none" w:pos="3700" w:val="left"/>
        </w:tabs>
        <w:rPr>
          <w:sz w:val="20"/>
          <w:szCs w:val="20"/>
          <w:color w:val="auto"/>
        </w:rPr>
      </w:pPr>
      <w:r>
        <w:rPr>
          <w:rFonts w:ascii="Arial" w:cs="Arial" w:eastAsia="Arial" w:hAnsi="Arial"/>
          <w:sz w:val="18"/>
          <w:szCs w:val="18"/>
          <w:b w:val="1"/>
          <w:bCs w:val="1"/>
          <w:color w:val="auto"/>
        </w:rPr>
        <w:t>Gabelli Funds, LLC</w:t>
      </w:r>
      <w:r>
        <w:rPr>
          <w:sz w:val="20"/>
          <w:szCs w:val="20"/>
          <w:color w:val="auto"/>
        </w:rPr>
        <w:tab/>
      </w:r>
      <w:r>
        <w:rPr>
          <w:rFonts w:ascii="Arial" w:cs="Arial" w:eastAsia="Arial" w:hAnsi="Arial"/>
          <w:sz w:val="17"/>
          <w:szCs w:val="17"/>
          <w:b w:val="1"/>
          <w:bCs w:val="1"/>
          <w:color w:val="auto"/>
        </w:rPr>
        <w:t>I.D. 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020" w:right="7360" w:hanging="638"/>
        <w:spacing w:after="0" w:line="347" w:lineRule="auto"/>
        <w:tabs>
          <w:tab w:leader="none" w:pos="8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ind w:left="1180"/>
              <w:spacing w:after="0"/>
              <w:rPr>
                <w:sz w:val="20"/>
                <w:szCs w:val="20"/>
                <w:color w:val="auto"/>
              </w:rPr>
            </w:pPr>
            <w:r>
              <w:rPr>
                <w:rFonts w:ascii="Arial" w:cs="Arial" w:eastAsia="Arial" w:hAnsi="Arial"/>
                <w:sz w:val="18"/>
                <w:szCs w:val="18"/>
                <w:b w:val="1"/>
                <w:bCs w:val="1"/>
                <w:color w:val="auto"/>
                <w:w w:val="97"/>
              </w:rPr>
              <w:t>1,719,700</w:t>
            </w:r>
          </w:p>
        </w:tc>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gridSpan w:val="2"/>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gridSpan w:val="2"/>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ind w:left="1180"/>
              <w:spacing w:after="0"/>
              <w:rPr>
                <w:sz w:val="20"/>
                <w:szCs w:val="20"/>
                <w:color w:val="auto"/>
              </w:rPr>
            </w:pPr>
            <w:r>
              <w:rPr>
                <w:rFonts w:ascii="Arial" w:cs="Arial" w:eastAsia="Arial" w:hAnsi="Arial"/>
                <w:sz w:val="18"/>
                <w:szCs w:val="18"/>
                <w:b w:val="1"/>
                <w:bCs w:val="1"/>
                <w:color w:val="auto"/>
                <w:w w:val="97"/>
              </w:rPr>
              <w:t>1,719,700</w:t>
            </w:r>
          </w:p>
        </w:tc>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gridSpan w:val="2"/>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98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4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45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1,719,700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3.65%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844895102</w:t>
      </w:r>
    </w:p>
    <w:p>
      <w:pPr>
        <w:spacing w:after="0" w:line="23"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60"/>
        <w:spacing w:after="0"/>
        <w:tabs>
          <w:tab w:leader="none" w:pos="4320" w:val="left"/>
        </w:tabs>
        <w:rPr>
          <w:sz w:val="20"/>
          <w:szCs w:val="20"/>
          <w:color w:val="auto"/>
        </w:rPr>
      </w:pPr>
      <w:r>
        <w:rPr>
          <w:rFonts w:ascii="Arial" w:cs="Arial" w:eastAsia="Arial" w:hAnsi="Arial"/>
          <w:sz w:val="18"/>
          <w:szCs w:val="18"/>
          <w:b w:val="1"/>
          <w:bCs w:val="1"/>
          <w:color w:val="auto"/>
        </w:rPr>
        <w:t>GAMCO Asset Management Inc.</w:t>
      </w:r>
      <w:r>
        <w:rPr>
          <w:sz w:val="20"/>
          <w:szCs w:val="20"/>
          <w:color w:val="auto"/>
        </w:rPr>
        <w:tab/>
      </w:r>
      <w:r>
        <w:rPr>
          <w:rFonts w:ascii="Arial" w:cs="Arial" w:eastAsia="Arial" w:hAnsi="Arial"/>
          <w:sz w:val="17"/>
          <w:szCs w:val="17"/>
          <w:b w:val="1"/>
          <w:bCs w:val="1"/>
          <w:color w:val="auto"/>
        </w:rPr>
        <w:t>I.D. No. 13-4044521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900" w:right="7460" w:hanging="518"/>
        <w:spacing w:after="0" w:line="347" w:lineRule="auto"/>
        <w:tabs>
          <w:tab w:leader="none" w:pos="85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1,175,145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1,324,615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1,324,615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2.81%</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844895102</w:t>
      </w:r>
    </w:p>
    <w:p>
      <w:pPr>
        <w:spacing w:after="0" w:line="23" w:lineRule="exact"/>
        <w:rPr>
          <w:sz w:val="20"/>
          <w:szCs w:val="20"/>
          <w:color w:val="auto"/>
        </w:rPr>
      </w:pPr>
    </w:p>
    <w:p>
      <w:pPr>
        <w:ind w:left="840" w:hanging="458"/>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40"/>
        <w:spacing w:after="0"/>
        <w:tabs>
          <w:tab w:leader="none" w:pos="4240" w:val="left"/>
        </w:tabs>
        <w:rPr>
          <w:sz w:val="20"/>
          <w:szCs w:val="20"/>
          <w:color w:val="auto"/>
        </w:rPr>
      </w:pPr>
      <w:r>
        <w:rPr>
          <w:rFonts w:ascii="Arial" w:cs="Arial" w:eastAsia="Arial" w:hAnsi="Arial"/>
          <w:sz w:val="18"/>
          <w:szCs w:val="18"/>
          <w:b w:val="1"/>
          <w:bCs w:val="1"/>
          <w:color w:val="auto"/>
        </w:rPr>
        <w:t>GGCP, Inc.</w:t>
      </w:r>
      <w:r>
        <w:rPr>
          <w:sz w:val="20"/>
          <w:szCs w:val="20"/>
          <w:color w:val="auto"/>
        </w:rPr>
        <w:tab/>
      </w:r>
      <w:r>
        <w:rPr>
          <w:rFonts w:ascii="Arial" w:cs="Arial" w:eastAsia="Arial" w:hAnsi="Arial"/>
          <w:sz w:val="17"/>
          <w:szCs w:val="17"/>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80" w:right="7460" w:hanging="598"/>
        <w:spacing w:after="0" w:line="282" w:lineRule="auto"/>
        <w:tabs>
          <w:tab w:leader="none" w:pos="84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840" w:hanging="458"/>
        <w:spacing w:after="0" w:line="282"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21"/>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844895102</w:t>
      </w:r>
    </w:p>
    <w:p>
      <w:pPr>
        <w:spacing w:after="0" w:line="1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1</w:t>
            </w:r>
          </w:p>
        </w:tc>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Names of reporting persons</w:t>
            </w:r>
          </w:p>
        </w:tc>
        <w:tc>
          <w:tcPr>
            <w:tcW w:w="222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22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2220" w:type="dxa"/>
            <w:vAlign w:val="bottom"/>
          </w:tcPr>
          <w:p>
            <w:pPr>
              <w:ind w:left="660"/>
              <w:spacing w:after="0"/>
              <w:rPr>
                <w:sz w:val="20"/>
                <w:szCs w:val="20"/>
                <w:color w:val="auto"/>
              </w:rPr>
            </w:pPr>
            <w:r>
              <w:rPr>
                <w:rFonts w:ascii="Arial" w:cs="Arial" w:eastAsia="Arial" w:hAnsi="Arial"/>
                <w:sz w:val="18"/>
                <w:szCs w:val="18"/>
                <w:b w:val="1"/>
                <w:bCs w:val="1"/>
                <w:color w:val="auto"/>
                <w:w w:val="94"/>
              </w:rPr>
              <w:t>I.D. No. 13-4007862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27"/>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844895102</w:t>
      </w:r>
    </w:p>
    <w:p>
      <w:pPr>
        <w:spacing w:after="0" w:line="23" w:lineRule="exact"/>
        <w:rPr>
          <w:sz w:val="20"/>
          <w:szCs w:val="20"/>
          <w:color w:val="auto"/>
        </w:rPr>
      </w:pP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right="630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 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00" w:right="7460" w:hanging="518"/>
        <w:spacing w:after="0" w:line="282" w:lineRule="auto"/>
        <w:tabs>
          <w:tab w:leader="none" w:pos="85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34"/>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520" w:type="dxa"/>
            <w:vAlign w:val="bottom"/>
          </w:tcPr>
          <w:p>
            <w:pPr>
              <w:spacing w:after="0"/>
              <w:rPr>
                <w:sz w:val="17"/>
                <w:szCs w:val="17"/>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Security and Issuer</w:t>
            </w: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1"/>
              </w:rPr>
              <w:t>This Amendment No. 29 to Schedule 13D on the Common Stock of Southwest Gas Corporation (the "Issuer") is being filed on behalf of the</w:t>
            </w:r>
          </w:p>
        </w:tc>
      </w:tr>
    </w:tbl>
    <w:p>
      <w:pPr>
        <w:jc w:val="both"/>
        <w:ind w:right="100"/>
        <w:spacing w:after="0" w:line="261" w:lineRule="auto"/>
        <w:rPr>
          <w:sz w:val="20"/>
          <w:szCs w:val="20"/>
          <w:color w:val="auto"/>
        </w:rPr>
      </w:pPr>
      <w:r>
        <w:rPr>
          <w:rFonts w:ascii="Arial" w:cs="Arial" w:eastAsia="Arial" w:hAnsi="Arial"/>
          <w:sz w:val="18"/>
          <w:szCs w:val="18"/>
          <w:color w:val="auto"/>
        </w:rPr>
        <w:t>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21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to Schedule 13D is amended, in pertinent part, as follows: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being filed by Mario J. Gabelli ("Mario Gabelli") and various entities which he</w:t>
      </w:r>
    </w:p>
    <w:p>
      <w:pPr>
        <w:spacing w:after="0" w:line="9"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directly or indirectly controls or for which he acts as chief investment officer. These entities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2" w:lineRule="exact"/>
        <w:rPr>
          <w:sz w:val="20"/>
          <w:szCs w:val="20"/>
          <w:color w:val="auto"/>
        </w:rPr>
      </w:pPr>
    </w:p>
    <w:p>
      <w:pPr>
        <w:ind w:right="80" w:firstLine="1297"/>
        <w:spacing w:after="0" w:line="265" w:lineRule="auto"/>
        <w:rPr>
          <w:sz w:val="20"/>
          <w:szCs w:val="20"/>
          <w:color w:val="auto"/>
        </w:rPr>
      </w:pPr>
      <w:r>
        <w:rPr>
          <w:rFonts w:ascii="Arial" w:cs="Arial" w:eastAsia="Arial" w:hAnsi="Arial"/>
          <w:sz w:val="17"/>
          <w:szCs w:val="17"/>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2" w:lineRule="exact"/>
        <w:rPr>
          <w:sz w:val="20"/>
          <w:szCs w:val="20"/>
          <w:color w:val="auto"/>
        </w:rPr>
      </w:pPr>
    </w:p>
    <w:p>
      <w:pPr>
        <w:ind w:firstLine="1297"/>
        <w:spacing w:after="0" w:line="250" w:lineRule="auto"/>
        <w:rPr>
          <w:sz w:val="20"/>
          <w:szCs w:val="20"/>
          <w:color w:val="auto"/>
        </w:rPr>
      </w:pPr>
      <w:r>
        <w:rPr>
          <w:rFonts w:ascii="Arial" w:cs="Arial" w:eastAsia="Arial" w:hAnsi="Arial"/>
          <w:sz w:val="18"/>
          <w:szCs w:val="18"/>
          <w:color w:val="auto"/>
        </w:rPr>
        <w:t>(a), (b) and (c) - This statement is being filed by one or more of the following persons: GGCP, Inc. ("GGCP"), GGCP Holdings LLC ("GGCP Holdings"), GAMCO Investors, Inc. ("GBL"), Gabelli Funds, LLC ("Gabelli Funds"), GAMCO Asset Management Inc. ("GAMCO"), Teton Advisors, Inc. ("Teton Advisors"), Gabelli Securities, Inc. ("GSI"), G.research, LLC ("G.research"), MJG Associates, Inc. ("MJG Associates"), Gabelli Foundation, Inc. ("Foundation"), MJG-IV Limited Partnership ("MJG-IV"), and Mario Gabelli. Those of the foregoing persons signing this Schedule 13D are hereinafter referred to as the "Reporting Persons".</w:t>
      </w:r>
    </w:p>
    <w:p>
      <w:pPr>
        <w:spacing w:after="0" w:line="2" w:lineRule="exact"/>
        <w:rPr>
          <w:sz w:val="20"/>
          <w:szCs w:val="20"/>
          <w:color w:val="auto"/>
        </w:rPr>
      </w:pPr>
    </w:p>
    <w:p>
      <w:pPr>
        <w:jc w:val="both"/>
        <w:ind w:right="80" w:firstLine="1297"/>
        <w:spacing w:after="0" w:line="250" w:lineRule="auto"/>
        <w:rPr>
          <w:sz w:val="20"/>
          <w:szCs w:val="20"/>
          <w:color w:val="auto"/>
        </w:rPr>
      </w:pPr>
      <w:r>
        <w:rPr>
          <w:rFonts w:ascii="Arial" w:cs="Arial" w:eastAsia="Arial" w:hAnsi="Arial"/>
          <w:sz w:val="18"/>
          <w:szCs w:val="18"/>
          <w:color w:val="auto"/>
        </w:rPr>
        <w:t>GGCP makes investments for its own account and is the manager and a member of GGCP Holdings which is the controlling shareholder of GBL. GBL, a public company listed on the New York Stock Exchange, is the parent company for a variety of companies engaged in the securities business, including those named below.</w:t>
      </w:r>
    </w:p>
    <w:p>
      <w:pPr>
        <w:spacing w:after="0" w:line="1" w:lineRule="exact"/>
        <w:rPr>
          <w:sz w:val="20"/>
          <w:szCs w:val="20"/>
          <w:color w:val="auto"/>
        </w:rPr>
      </w:pPr>
    </w:p>
    <w:p>
      <w:pPr>
        <w:ind w:right="140" w:firstLine="1297"/>
        <w:spacing w:after="0" w:line="250" w:lineRule="auto"/>
        <w:rPr>
          <w:sz w:val="20"/>
          <w:szCs w:val="20"/>
          <w:color w:val="auto"/>
        </w:rPr>
      </w:pPr>
      <w:r>
        <w:rPr>
          <w:rFonts w:ascii="Arial" w:cs="Arial" w:eastAsia="Arial" w:hAnsi="Arial"/>
          <w:sz w:val="18"/>
          <w:szCs w:val="18"/>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100" w:firstLine="1297"/>
        <w:spacing w:after="0" w:line="250" w:lineRule="auto"/>
        <w:rPr>
          <w:sz w:val="20"/>
          <w:szCs w:val="20"/>
          <w:color w:val="auto"/>
        </w:rPr>
      </w:pPr>
      <w:r>
        <w:rPr>
          <w:rFonts w:ascii="Arial" w:cs="Arial" w:eastAsia="Arial" w:hAnsi="Arial"/>
          <w:sz w:val="18"/>
          <w:szCs w:val="18"/>
          <w:color w:val="auto"/>
        </w:rPr>
        <w:t>GSI, a majority-owned subsidiary of GBL, is an investment adviser registered under the Advisers Act and serves as a general partner or investment manager to limited partnerships and offshore investment companies and other accounts. As a part of its business, GSI may purchase or sell securities for its own account. GSI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Gabelli Japanese Value Partners L.P., GAMA Select Energy + L.P., GAMCO Medical Opportunities L.P., GAMCO Long/Short Equity Fund, L.P., Gabelli Multimedia Partners, L.P, Gabelli International Gold Fund Limited and Gabelli Green Long/Short Fund, L.P.</w:t>
      </w:r>
    </w:p>
    <w:p>
      <w:pPr>
        <w:spacing w:after="0" w:line="3" w:lineRule="exact"/>
        <w:rPr>
          <w:sz w:val="20"/>
          <w:szCs w:val="20"/>
          <w:color w:val="auto"/>
        </w:rPr>
      </w:pPr>
    </w:p>
    <w:p>
      <w:pPr>
        <w:ind w:right="60" w:firstLine="1297"/>
        <w:spacing w:after="0" w:line="250" w:lineRule="auto"/>
        <w:rPr>
          <w:sz w:val="20"/>
          <w:szCs w:val="20"/>
          <w:color w:val="auto"/>
        </w:rPr>
      </w:pPr>
      <w:r>
        <w:rPr>
          <w:rFonts w:ascii="Arial" w:cs="Arial" w:eastAsia="Arial" w:hAnsi="Arial"/>
          <w:sz w:val="18"/>
          <w:szCs w:val="18"/>
          <w:color w:val="auto"/>
        </w:rPr>
        <w:t>G.research,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6"/>
          <w:szCs w:val="16"/>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Telecommunications Fund, The Gabelli Gold Fund, Inc., The Gabelli Multimedia Trust Inc., The Gabelli Global Rising Income &amp; Dividend Fund, The Gabelli Capital Asset Fund, The GAMCO International Growth Fund, Inc., The GAMCO Global Growth Fund, The Gabelli Utility Trust, The GAMCO Global Opportunity Fund, The Gabelli Utilities Fund, The Gabelli Dividend Growth Fund, The GAMCO Mathers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Healthcare &amp; Wellness </w:t>
      </w:r>
      <w:r>
        <w:rPr>
          <w:rFonts w:ascii="Arial" w:cs="Arial" w:eastAsia="Arial" w:hAnsi="Arial"/>
          <w:sz w:val="26"/>
          <w:szCs w:val="26"/>
          <w:color w:val="auto"/>
          <w:vertAlign w:val="superscript"/>
        </w:rPr>
        <w:t>Rx</w:t>
      </w:r>
      <w:r>
        <w:rPr>
          <w:rFonts w:ascii="Arial" w:cs="Arial" w:eastAsia="Arial" w:hAnsi="Arial"/>
          <w:sz w:val="16"/>
          <w:szCs w:val="16"/>
          <w:color w:val="auto"/>
        </w:rPr>
        <w:t xml:space="preserve"> Trust, The Gabelli Global Small and Mid Cap Value Trust and Gabelli Value Plus+ Trust (collectively, the "Funds"), which are registered investment companies. Gabelli Funds is also the investment adviser to The GAMCO International SICAV (sub-funds GAMCO Merger Arbitrage and GAMCO All Cap Value), a UCITS III vehicle.</w:t>
      </w:r>
    </w:p>
    <w:p>
      <w:pPr>
        <w:spacing w:after="0" w:line="6" w:lineRule="exact"/>
        <w:rPr>
          <w:sz w:val="20"/>
          <w:szCs w:val="20"/>
          <w:color w:val="auto"/>
        </w:rPr>
      </w:pPr>
    </w:p>
    <w:p>
      <w:pPr>
        <w:ind w:right="220" w:firstLine="1297"/>
        <w:spacing w:after="0" w:line="204" w:lineRule="auto"/>
        <w:rPr>
          <w:sz w:val="20"/>
          <w:szCs w:val="20"/>
          <w:color w:val="auto"/>
        </w:rPr>
      </w:pPr>
      <w:r>
        <w:rPr>
          <w:rFonts w:ascii="Arial" w:cs="Arial" w:eastAsia="Arial" w:hAnsi="Arial"/>
          <w:sz w:val="18"/>
          <w:szCs w:val="18"/>
          <w:color w:val="auto"/>
        </w:rPr>
        <w:t>Teton Advisors, an investment adviser registered under the Advisers Act, provides discretionary advisory services to The TETON Westwood Mighty Mites</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Fund, The TETON Westwood Income Fund, The TETON Westwood SmallCap Equity Fund, and The TETON Westwood Mid-Cap Equity Fund.</w:t>
      </w:r>
    </w:p>
    <w:p>
      <w:pPr>
        <w:spacing w:after="0" w:line="3" w:lineRule="exact"/>
        <w:rPr>
          <w:sz w:val="20"/>
          <w:szCs w:val="20"/>
          <w:color w:val="auto"/>
        </w:rPr>
      </w:pPr>
    </w:p>
    <w:p>
      <w:pPr>
        <w:jc w:val="both"/>
        <w:ind w:right="240" w:firstLine="1297"/>
        <w:spacing w:after="0" w:line="250" w:lineRule="auto"/>
        <w:rPr>
          <w:sz w:val="20"/>
          <w:szCs w:val="20"/>
          <w:color w:val="auto"/>
        </w:rPr>
      </w:pPr>
      <w:r>
        <w:rPr>
          <w:rFonts w:ascii="Arial" w:cs="Arial" w:eastAsia="Arial" w:hAnsi="Arial"/>
          <w:sz w:val="18"/>
          <w:szCs w:val="18"/>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Foundation is a private foundation. Mario Gabelli is the Chairman, a Trustee and the Investment Manager of the Foundation. Elisa 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Wilson is the President of the Foundation.</w:t>
      </w:r>
    </w:p>
    <w:p>
      <w:pPr>
        <w:spacing w:after="0" w:line="9" w:lineRule="exact"/>
        <w:rPr>
          <w:sz w:val="20"/>
          <w:szCs w:val="20"/>
          <w:color w:val="auto"/>
        </w:rPr>
      </w:pPr>
    </w:p>
    <w:p>
      <w:pPr>
        <w:ind w:right="60" w:firstLine="1297"/>
        <w:spacing w:after="0" w:line="250" w:lineRule="auto"/>
        <w:rPr>
          <w:sz w:val="20"/>
          <w:szCs w:val="20"/>
          <w:color w:val="auto"/>
        </w:rPr>
      </w:pPr>
      <w:r>
        <w:rPr>
          <w:rFonts w:ascii="Arial" w:cs="Arial" w:eastAsia="Arial" w:hAnsi="Arial"/>
          <w:sz w:val="18"/>
          <w:szCs w:val="18"/>
          <w:color w:val="auto"/>
        </w:rPr>
        <w:t>Mario Gabelli is the controlling stockholder, Chief Executive Officer and a director of GGCP and Chairman and Chief Executive Officer of GBL. Mario Gabelli is also a member of GGCP Holdings. Mario Gabelli is the controlling shareholder of Teton.</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MJG-IV is a family partnership in which Mario Gabelli is the general partner. Mario Gabelli has less than a 100% interest in MJG-IV.</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MJG-IV makes investments for its own account. Mario Gabelli disclaims ownership of the securities held by MJG-IV beyond his pecuniary interest.</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Reporting Persons do not admit that they constitute a group.</w:t>
      </w:r>
    </w:p>
    <w:p>
      <w:pPr>
        <w:spacing w:after="0" w:line="9" w:lineRule="exact"/>
        <w:rPr>
          <w:sz w:val="20"/>
          <w:szCs w:val="20"/>
          <w:color w:val="auto"/>
        </w:rPr>
      </w:pPr>
    </w:p>
    <w:p>
      <w:pPr>
        <w:ind w:right="40" w:firstLine="1297"/>
        <w:spacing w:after="0" w:line="265" w:lineRule="auto"/>
        <w:rPr>
          <w:sz w:val="20"/>
          <w:szCs w:val="20"/>
          <w:color w:val="auto"/>
        </w:rPr>
      </w:pPr>
      <w:r>
        <w:rPr>
          <w:rFonts w:ascii="Arial" w:cs="Arial" w:eastAsia="Arial" w:hAnsi="Arial"/>
          <w:sz w:val="17"/>
          <w:szCs w:val="17"/>
          <w:color w:val="auto"/>
        </w:rPr>
        <w:t>GAMCO and G.research are New York corporations and GBL, GSI,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w:t>
      </w:r>
    </w:p>
    <w:p>
      <w:pPr>
        <w:spacing w:after="0" w:line="1" w:lineRule="exact"/>
        <w:rPr>
          <w:sz w:val="20"/>
          <w:szCs w:val="20"/>
          <w:color w:val="auto"/>
        </w:rPr>
      </w:pPr>
    </w:p>
    <w:p>
      <w:pPr>
        <w:ind w:right="120" w:firstLine="1297"/>
        <w:spacing w:after="0" w:line="265" w:lineRule="auto"/>
        <w:rPr>
          <w:sz w:val="20"/>
          <w:szCs w:val="20"/>
          <w:color w:val="auto"/>
        </w:rPr>
      </w:pPr>
      <w:r>
        <w:rPr>
          <w:rFonts w:ascii="Arial" w:cs="Arial" w:eastAsia="Arial" w:hAnsi="Arial"/>
          <w:sz w:val="17"/>
          <w:szCs w:val="17"/>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560" w:hanging="255"/>
        <w:spacing w:after="0"/>
        <w:tabs>
          <w:tab w:leader="none" w:pos="1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1540" w:hanging="235"/>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840" w:hanging="231"/>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Reference is made to Schedule I hereto.</w:t>
      </w:r>
    </w:p>
    <w:p>
      <w:pPr>
        <w:spacing w:after="0" w:line="23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to Schedule 13D is amended, in pertinent part, as follows:</w:t>
      </w:r>
    </w:p>
    <w:p>
      <w:pPr>
        <w:sectPr>
          <w:pgSz w:w="11900" w:h="16838" w:orient="portrait"/>
          <w:cols w:equalWidth="0" w:num="1">
            <w:col w:w="11420"/>
          </w:cols>
          <w:pgMar w:left="240" w:top="108" w:right="239" w:bottom="0" w:gutter="0" w:footer="0" w:header="0"/>
        </w:sectPr>
      </w:pPr>
    </w:p>
    <w:bookmarkStart w:id="7" w:name="page8"/>
    <w:bookmarkEnd w:id="7"/>
    <w:p>
      <w:pPr>
        <w:ind w:right="20" w:firstLine="1305"/>
        <w:spacing w:after="0" w:line="256" w:lineRule="auto"/>
        <w:tabs>
          <w:tab w:leader="none" w:pos="15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Securities to which this Schedule 13D relates is 3,044,315 shares, representing 6.47% of the 47,057,295 shares outstanding as reported in the Issuer's most recent Form 10-Q filed on August 6, 2015 for the quarterly period ended June 30, 2015. The Reporting Persons beneficially own those Securities as follows:</w:t>
      </w:r>
    </w:p>
    <w:tbl>
      <w:tblPr>
        <w:tblLayout w:type="fixed"/>
        <w:tblInd w:w="0" w:type="dxa"/>
        <w:tblCellMar>
          <w:top w:w="0" w:type="dxa"/>
          <w:left w:w="0" w:type="dxa"/>
          <w:bottom w:w="0" w:type="dxa"/>
          <w:right w:w="0" w:type="dxa"/>
        </w:tblCellMar>
      </w:tblPr>
      <w:tr>
        <w:trPr>
          <w:trHeight w:val="202"/>
        </w:trPr>
        <w:tc>
          <w:tcPr>
            <w:tcW w:w="3240" w:type="dxa"/>
            <w:vAlign w:val="bottom"/>
          </w:tcPr>
          <w:p>
            <w:pPr>
              <w:spacing w:after="0"/>
              <w:rPr>
                <w:sz w:val="17"/>
                <w:szCs w:val="17"/>
                <w:color w:val="auto"/>
              </w:rPr>
            </w:pPr>
          </w:p>
        </w:tc>
        <w:tc>
          <w:tcPr>
            <w:tcW w:w="4560" w:type="dxa"/>
            <w:vAlign w:val="bottom"/>
          </w:tcPr>
          <w:p>
            <w:pPr>
              <w:jc w:val="center"/>
              <w:ind w:left="910"/>
              <w:spacing w:after="0" w:line="202" w:lineRule="exact"/>
              <w:rPr>
                <w:sz w:val="20"/>
                <w:szCs w:val="20"/>
                <w:color w:val="auto"/>
              </w:rPr>
            </w:pPr>
            <w:r>
              <w:rPr>
                <w:rFonts w:ascii="Arial" w:cs="Arial" w:eastAsia="Arial" w:hAnsi="Arial"/>
                <w:sz w:val="18"/>
                <w:szCs w:val="18"/>
                <w:color w:val="auto"/>
                <w:w w:val="88"/>
              </w:rPr>
              <w:t>Shares of</w:t>
            </w:r>
          </w:p>
        </w:tc>
        <w:tc>
          <w:tcPr>
            <w:tcW w:w="362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2"/>
              </w:rPr>
              <w:t>% of Class of</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jc w:val="center"/>
              <w:ind w:left="910"/>
              <w:spacing w:after="0"/>
              <w:rPr>
                <w:sz w:val="20"/>
                <w:szCs w:val="20"/>
                <w:color w:val="auto"/>
              </w:rPr>
            </w:pPr>
            <w:r>
              <w:rPr>
                <w:rFonts w:ascii="Arial" w:cs="Arial" w:eastAsia="Arial" w:hAnsi="Arial"/>
                <w:sz w:val="18"/>
                <w:szCs w:val="18"/>
                <w:color w:val="auto"/>
                <w:w w:val="90"/>
              </w:rPr>
              <w:t>Common Stock</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4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GAMCO</w:t>
            </w:r>
          </w:p>
        </w:tc>
        <w:tc>
          <w:tcPr>
            <w:tcW w:w="4560" w:type="dxa"/>
            <w:vAlign w:val="bottom"/>
          </w:tcPr>
          <w:p>
            <w:pPr>
              <w:jc w:val="center"/>
              <w:ind w:left="910"/>
              <w:spacing w:after="0"/>
              <w:rPr>
                <w:sz w:val="20"/>
                <w:szCs w:val="20"/>
                <w:color w:val="auto"/>
              </w:rPr>
            </w:pPr>
            <w:r>
              <w:rPr>
                <w:rFonts w:ascii="Arial" w:cs="Arial" w:eastAsia="Arial" w:hAnsi="Arial"/>
                <w:sz w:val="18"/>
                <w:szCs w:val="18"/>
                <w:color w:val="auto"/>
                <w:w w:val="89"/>
              </w:rPr>
              <w:t>1,324,615</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2.81%</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Gabelli Funds</w:t>
            </w:r>
          </w:p>
        </w:tc>
        <w:tc>
          <w:tcPr>
            <w:tcW w:w="4560" w:type="dxa"/>
            <w:vAlign w:val="bottom"/>
          </w:tcPr>
          <w:p>
            <w:pPr>
              <w:jc w:val="center"/>
              <w:ind w:left="910"/>
              <w:spacing w:after="0"/>
              <w:rPr>
                <w:sz w:val="20"/>
                <w:szCs w:val="20"/>
                <w:color w:val="auto"/>
              </w:rPr>
            </w:pPr>
            <w:r>
              <w:rPr>
                <w:rFonts w:ascii="Arial" w:cs="Arial" w:eastAsia="Arial" w:hAnsi="Arial"/>
                <w:sz w:val="18"/>
                <w:szCs w:val="18"/>
                <w:color w:val="auto"/>
                <w:w w:val="89"/>
              </w:rPr>
              <w:t>1,719,700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3.65%</w:t>
            </w:r>
          </w:p>
        </w:tc>
      </w:tr>
    </w:tbl>
    <w:p>
      <w:pPr>
        <w:spacing w:after="0" w:line="200" w:lineRule="exact"/>
        <w:rPr>
          <w:sz w:val="20"/>
          <w:szCs w:val="20"/>
          <w:color w:val="auto"/>
        </w:rPr>
      </w:pPr>
    </w:p>
    <w:p>
      <w:pPr>
        <w:spacing w:after="0" w:line="245" w:lineRule="exact"/>
        <w:rPr>
          <w:sz w:val="20"/>
          <w:szCs w:val="20"/>
          <w:color w:val="auto"/>
        </w:rPr>
      </w:pPr>
    </w:p>
    <w:p>
      <w:pPr>
        <w:jc w:val="both"/>
        <w:ind w:right="60" w:firstLine="1260"/>
        <w:spacing w:after="0" w:line="256" w:lineRule="auto"/>
        <w:rPr>
          <w:sz w:val="20"/>
          <w:szCs w:val="20"/>
          <w:color w:val="auto"/>
        </w:rPr>
      </w:pPr>
      <w:r>
        <w:rPr>
          <w:rFonts w:ascii="Arial" w:cs="Arial" w:eastAsia="Arial" w:hAnsi="Arial"/>
          <w:sz w:val="18"/>
          <w:szCs w:val="18"/>
          <w:color w:val="auto"/>
        </w:rPr>
        <w:t>Mario Gabelli is deemed to have beneficial ownership of the Securities owned beneficially by each of the foregoing persons. GSI is deemed to have beneficial ownership of the Securities beneficially owned by G.research. GBL and GGCP are deemed to have beneficial ownership of the Securities owned beneficially by each of the foregoing persons other than Mario Gabelli and the Foundation.</w:t>
      </w:r>
    </w:p>
    <w:p>
      <w:pPr>
        <w:ind w:right="20" w:firstLine="1305"/>
        <w:spacing w:after="0" w:line="265" w:lineRule="auto"/>
        <w:tabs>
          <w:tab w:leader="none" w:pos="1551"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149,470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spacing w:after="0" w:line="1" w:lineRule="exact"/>
        <w:rPr>
          <w:rFonts w:ascii="Arial" w:cs="Arial" w:eastAsia="Arial" w:hAnsi="Arial"/>
          <w:sz w:val="17"/>
          <w:szCs w:val="17"/>
          <w:color w:val="auto"/>
        </w:rPr>
      </w:pPr>
    </w:p>
    <w:p>
      <w:pPr>
        <w:ind w:right="80" w:firstLine="1305"/>
        <w:spacing w:after="0" w:line="250" w:lineRule="auto"/>
        <w:tabs>
          <w:tab w:leader="none" w:pos="15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8"/>
          <w:szCs w:val="18"/>
          <w:color w:val="auto"/>
        </w:rPr>
      </w:pPr>
    </w:p>
    <w:p>
      <w:pPr>
        <w:ind w:left="1540" w:hanging="235"/>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Signature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11, 2015</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Douglas R. Jamieson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Douglas R. Jamieson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GABELLI FUNDS, LLC</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Bruce N. Alpert</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Bruce N. Alpert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Chief Operating Officer – Gabelli Funds,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ASSET MANAGEMENT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INVESTORS, INC.</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Douglas R. Jamieson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Douglas R. Jamieson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President &amp; Chief Operating Officer – GAMCO Investors, Inc.</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President – GAMCO Asset Management Inc.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508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Information with Respect to Executive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Officers and Directors of the Undersigned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Schedule I to Schedule 13D is amended, in pertinent part, as follows: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G.research,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6073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1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Richard L. Bready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Marc Gabelli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Elisa M.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Eugene R. McGrath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Henry G. Van der Eb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Bruce N. Alpert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Agnes Mullady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S. Zuccaro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Kevin Handwerker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GAMCO Asset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6073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Regina M. Pitaro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S. Selby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S. Zuccaro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David Goldman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Procter &amp; Gamble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Adams Crossing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Wiegand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165 West Liberty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NV 89501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Kennedy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LGL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2525 Shader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 32804</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Chief Executive Officer of GGCP, Inc., and Chairman &amp; Chief Executive Officer of GAMCO Investors, Inc.; Director/Trustee of all registered investment companies advised by Gabelli Funds,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GAMCO Investors,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Edison,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Irving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Heartland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1843 West Wesley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Investment Officer – Value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 and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Secretary &amp; Chief Compliance Officer</w:t>
      </w:r>
    </w:p>
    <w:p>
      <w:pPr>
        <w:sectPr>
          <w:pgSz w:w="11900" w:h="16874" w:orient="portrait"/>
          <w:cols w:equalWidth="0" w:num="2">
            <w:col w:w="3400" w:space="720"/>
            <w:col w:w="7040"/>
          </w:cols>
          <w:pgMar w:left="240" w:top="854" w:right="49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Gabelli Funds,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Borders>
              <w:top w:val="single" w:sz="8" w:color="auto"/>
            </w:tcBorders>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Investment Officer – Value Portfolios</w:t>
            </w:r>
          </w:p>
        </w:tc>
        <w:tc>
          <w:tcPr>
            <w:tcW w:w="0" w:type="dxa"/>
            <w:vAlign w:val="bottom"/>
          </w:tcPr>
          <w:p>
            <w:pPr>
              <w:spacing w:after="0"/>
              <w:rPr>
                <w:sz w:val="1"/>
                <w:szCs w:val="1"/>
                <w:color w:val="auto"/>
              </w:rPr>
            </w:pPr>
          </w:p>
        </w:tc>
      </w:tr>
      <w:tr>
        <w:trPr>
          <w:trHeight w:val="418"/>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1"/>
              </w:rPr>
              <w:t>President and Chief Operating Officer – Open End Fund Division</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Robert S. Zuccaro</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Gabelli Securities, Inc.</w:t>
            </w:r>
          </w:p>
        </w:tc>
        <w:tc>
          <w:tcPr>
            <w:tcW w:w="1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660"/>
              <w:spacing w:after="0"/>
              <w:rPr>
                <w:sz w:val="20"/>
                <w:szCs w:val="20"/>
                <w:color w:val="auto"/>
              </w:rPr>
            </w:pPr>
            <w:r>
              <w:rPr>
                <w:rFonts w:ascii="Arial" w:cs="Arial" w:eastAsia="Arial" w:hAnsi="Arial"/>
                <w:sz w:val="18"/>
                <w:szCs w:val="18"/>
                <w:color w:val="auto"/>
              </w:rPr>
              <w:t>Robert W. Blake</w:t>
            </w: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of W. R. Blake &amp; Sons, Inc.</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196-20 Northern Boulevard</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Flushing, NY  11358</w:t>
            </w:r>
          </w:p>
        </w:tc>
        <w:tc>
          <w:tcPr>
            <w:tcW w:w="0" w:type="dxa"/>
            <w:vAlign w:val="bottom"/>
          </w:tcPr>
          <w:p>
            <w:pPr>
              <w:spacing w:after="0"/>
              <w:rPr>
                <w:sz w:val="1"/>
                <w:szCs w:val="1"/>
                <w:color w:val="auto"/>
              </w:rPr>
            </w:pPr>
          </w:p>
        </w:tc>
      </w:tr>
      <w:tr>
        <w:trPr>
          <w:trHeight w:val="418"/>
        </w:trPr>
        <w:tc>
          <w:tcPr>
            <w:tcW w:w="3960" w:type="dxa"/>
            <w:vAlign w:val="bottom"/>
          </w:tcPr>
          <w:p>
            <w:pPr>
              <w:ind w:left="660"/>
              <w:spacing w:after="0"/>
              <w:rPr>
                <w:sz w:val="20"/>
                <w:szCs w:val="20"/>
                <w:color w:val="auto"/>
              </w:rPr>
            </w:pPr>
            <w:r>
              <w:rPr>
                <w:rFonts w:ascii="Arial" w:cs="Arial" w:eastAsia="Arial" w:hAnsi="Arial"/>
                <w:sz w:val="18"/>
                <w:szCs w:val="18"/>
                <w:color w:val="auto"/>
              </w:rPr>
              <w:t>Douglas G. DeVivo</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Co-Chairman of the Board and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DeVivo Asset Management Company LLC</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P.O. Box 2048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Menlo Park, CA 94027</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Marc J. Gabelli</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Co-Chairman of the Board</w:t>
            </w:r>
          </w:p>
        </w:tc>
        <w:tc>
          <w:tcPr>
            <w:tcW w:w="0" w:type="dxa"/>
            <w:vAlign w:val="bottom"/>
          </w:tcPr>
          <w:p>
            <w:pPr>
              <w:spacing w:after="0"/>
              <w:rPr>
                <w:sz w:val="1"/>
                <w:szCs w:val="1"/>
                <w:color w:val="auto"/>
              </w:rPr>
            </w:pPr>
          </w:p>
        </w:tc>
      </w:tr>
      <w:tr>
        <w:trPr>
          <w:trHeight w:val="432"/>
        </w:trPr>
        <w:tc>
          <w:tcPr>
            <w:tcW w:w="3960" w:type="dxa"/>
            <w:vAlign w:val="bottom"/>
          </w:tcPr>
          <w:p>
            <w:pPr>
              <w:ind w:left="70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418"/>
        </w:trPr>
        <w:tc>
          <w:tcPr>
            <w:tcW w:w="3960" w:type="dxa"/>
            <w:vAlign w:val="bottom"/>
          </w:tcPr>
          <w:p>
            <w:pPr>
              <w:ind w:left="680"/>
              <w:spacing w:after="0"/>
              <w:rPr>
                <w:sz w:val="20"/>
                <w:szCs w:val="20"/>
                <w:color w:val="auto"/>
              </w:rPr>
            </w:pPr>
            <w:r>
              <w:rPr>
                <w:rFonts w:ascii="Arial" w:cs="Arial" w:eastAsia="Arial" w:hAnsi="Arial"/>
                <w:sz w:val="18"/>
                <w:szCs w:val="18"/>
                <w:color w:val="auto"/>
              </w:rPr>
              <w:t>Daniel R. Lee</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Full House Resorts, Inc.</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4670 South Ford Apache Road, Suite 190</w:t>
            </w:r>
          </w:p>
        </w:tc>
        <w:tc>
          <w:tcPr>
            <w:tcW w:w="0" w:type="dxa"/>
            <w:vAlign w:val="bottom"/>
          </w:tcPr>
          <w:p>
            <w:pPr>
              <w:spacing w:after="0"/>
              <w:rPr>
                <w:sz w:val="1"/>
                <w:szCs w:val="1"/>
                <w:color w:val="auto"/>
              </w:rPr>
            </w:pPr>
          </w:p>
        </w:tc>
      </w:tr>
      <w:tr>
        <w:trPr>
          <w:trHeight w:val="230"/>
        </w:trPr>
        <w:tc>
          <w:tcPr>
            <w:tcW w:w="3960" w:type="dxa"/>
            <w:vAlign w:val="bottom"/>
            <w:vMerge w:val="restart"/>
          </w:tcPr>
          <w:p>
            <w:pPr>
              <w:ind w:left="680"/>
              <w:spacing w:after="0"/>
              <w:rPr>
                <w:sz w:val="20"/>
                <w:szCs w:val="20"/>
                <w:color w:val="auto"/>
              </w:rPr>
            </w:pPr>
            <w:r>
              <w:rPr>
                <w:rFonts w:ascii="Arial" w:cs="Arial" w:eastAsia="Arial" w:hAnsi="Arial"/>
                <w:sz w:val="18"/>
                <w:szCs w:val="18"/>
                <w:color w:val="auto"/>
              </w:rPr>
              <w:t>William C. Mattison, Jr.</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Las Vegas, NV 89147</w:t>
            </w:r>
          </w:p>
        </w:tc>
        <w:tc>
          <w:tcPr>
            <w:tcW w:w="0" w:type="dxa"/>
            <w:vAlign w:val="bottom"/>
          </w:tcPr>
          <w:p>
            <w:pPr>
              <w:spacing w:after="0"/>
              <w:rPr>
                <w:sz w:val="1"/>
                <w:szCs w:val="1"/>
                <w:color w:val="auto"/>
              </w:rPr>
            </w:pPr>
          </w:p>
        </w:tc>
      </w:tr>
      <w:tr>
        <w:trPr>
          <w:trHeight w:val="202"/>
        </w:trPr>
        <w:tc>
          <w:tcPr>
            <w:tcW w:w="3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Salvatore F. Sodano</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Robert S. Zuccaro</w:t>
            </w:r>
          </w:p>
        </w:tc>
        <w:tc>
          <w:tcPr>
            <w:tcW w:w="48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Diane M. LaPointe</w:t>
            </w:r>
          </w:p>
        </w:tc>
        <w:tc>
          <w:tcPr>
            <w:tcW w:w="4880" w:type="dxa"/>
            <w:vAlign w:val="bottom"/>
            <w:gridSpan w:val="2"/>
          </w:tcPr>
          <w:p>
            <w:pPr>
              <w:spacing w:after="0"/>
              <w:rPr>
                <w:sz w:val="20"/>
                <w:szCs w:val="20"/>
                <w:color w:val="auto"/>
              </w:rPr>
            </w:pPr>
            <w:r>
              <w:rPr>
                <w:rFonts w:ascii="Arial" w:cs="Arial" w:eastAsia="Arial" w:hAnsi="Arial"/>
                <w:sz w:val="18"/>
                <w:szCs w:val="18"/>
                <w:color w:val="auto"/>
              </w:rPr>
              <w:t>Controller</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488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M. Goldman</w:t>
            </w:r>
          </w:p>
        </w:tc>
        <w:tc>
          <w:tcPr>
            <w:tcW w:w="4880" w:type="dxa"/>
            <w:vAlign w:val="bottom"/>
            <w:gridSpan w:val="2"/>
          </w:tcPr>
          <w:p>
            <w:pPr>
              <w:spacing w:after="0"/>
              <w:rPr>
                <w:sz w:val="20"/>
                <w:szCs w:val="20"/>
                <w:color w:val="auto"/>
              </w:rPr>
            </w:pPr>
            <w:r>
              <w:rPr>
                <w:rFonts w:ascii="Arial" w:cs="Arial" w:eastAsia="Arial" w:hAnsi="Arial"/>
                <w:sz w:val="18"/>
                <w:szCs w:val="18"/>
                <w:color w:val="auto"/>
              </w:rPr>
              <w:t>General Counsel &amp; Assistant Secretary</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488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G.research, Inc.</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Daniel M. Miller</w:t>
            </w:r>
          </w:p>
        </w:tc>
        <w:tc>
          <w:tcPr>
            <w:tcW w:w="488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18"/>
        </w:trPr>
        <w:tc>
          <w:tcPr>
            <w:tcW w:w="3960" w:type="dxa"/>
            <w:vAlign w:val="bottom"/>
          </w:tcPr>
          <w:p>
            <w:pPr>
              <w:ind w:left="640"/>
              <w:spacing w:after="0"/>
              <w:rPr>
                <w:sz w:val="20"/>
                <w:szCs w:val="20"/>
                <w:color w:val="auto"/>
              </w:rPr>
            </w:pPr>
            <w:r>
              <w:rPr>
                <w:rFonts w:ascii="Arial" w:cs="Arial" w:eastAsia="Arial" w:hAnsi="Arial"/>
                <w:sz w:val="18"/>
                <w:szCs w:val="18"/>
                <w:color w:val="auto"/>
              </w:rPr>
              <w:t>Cornelius V. McGinity</w:t>
            </w:r>
          </w:p>
        </w:tc>
        <w:tc>
          <w:tcPr>
            <w:tcW w:w="488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Daniel M. Miller</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4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Diane M. LaPointe</w:t>
            </w:r>
          </w:p>
        </w:tc>
        <w:tc>
          <w:tcPr>
            <w:tcW w:w="4880" w:type="dxa"/>
            <w:vAlign w:val="bottom"/>
            <w:gridSpan w:val="2"/>
          </w:tcPr>
          <w:p>
            <w:pPr>
              <w:spacing w:after="0"/>
              <w:rPr>
                <w:sz w:val="20"/>
                <w:szCs w:val="20"/>
                <w:color w:val="auto"/>
              </w:rPr>
            </w:pPr>
            <w:r>
              <w:rPr>
                <w:rFonts w:ascii="Arial" w:cs="Arial" w:eastAsia="Arial" w:hAnsi="Arial"/>
                <w:sz w:val="18"/>
                <w:szCs w:val="18"/>
                <w:color w:val="auto"/>
              </w:rPr>
              <w:t>Controller and Financial &amp; Operations Principal</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488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M. Goldman</w:t>
            </w:r>
          </w:p>
        </w:tc>
        <w:tc>
          <w:tcPr>
            <w:tcW w:w="4880" w:type="dxa"/>
            <w:vAlign w:val="bottom"/>
            <w:gridSpan w:val="2"/>
          </w:tcPr>
          <w:p>
            <w:pPr>
              <w:spacing w:after="0"/>
              <w:rPr>
                <w:sz w:val="20"/>
                <w:szCs w:val="20"/>
                <w:color w:val="auto"/>
              </w:rPr>
            </w:pPr>
            <w:r>
              <w:rPr>
                <w:rFonts w:ascii="Arial" w:cs="Arial" w:eastAsia="Arial" w:hAnsi="Arial"/>
                <w:sz w:val="18"/>
                <w:szCs w:val="18"/>
                <w:color w:val="auto"/>
              </w:rPr>
              <w:t>Assistant Secretary</w:t>
            </w:r>
          </w:p>
        </w:tc>
        <w:tc>
          <w:tcPr>
            <w:tcW w:w="0" w:type="dxa"/>
            <w:vAlign w:val="bottom"/>
          </w:tcPr>
          <w:p>
            <w:pPr>
              <w:spacing w:after="0"/>
              <w:rPr>
                <w:sz w:val="1"/>
                <w:szCs w:val="1"/>
                <w:color w:val="auto"/>
              </w:rPr>
            </w:pP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Josephine D. LaFauci</w:t>
            </w:r>
          </w:p>
        </w:tc>
        <w:tc>
          <w:tcPr>
            <w:tcW w:w="488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Gabelli Foundation, Inc.</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4880" w:type="dxa"/>
            <w:vAlign w:val="bottom"/>
            <w:gridSpan w:val="2"/>
          </w:tcPr>
          <w:p>
            <w:pPr>
              <w:spacing w:after="0"/>
              <w:rPr>
                <w:sz w:val="20"/>
                <w:szCs w:val="20"/>
                <w:color w:val="auto"/>
              </w:rPr>
            </w:pPr>
            <w:r>
              <w:rPr>
                <w:rFonts w:ascii="Arial" w:cs="Arial" w:eastAsia="Arial" w:hAnsi="Arial"/>
                <w:sz w:val="18"/>
                <w:szCs w:val="18"/>
                <w:color w:val="auto"/>
              </w:rPr>
              <w:t>Chairman, Trustee &amp; Chief Investment Officer</w:t>
            </w:r>
          </w:p>
        </w:tc>
        <w:tc>
          <w:tcPr>
            <w:tcW w:w="0" w:type="dxa"/>
            <w:vAlign w:val="bottom"/>
          </w:tcPr>
          <w:p>
            <w:pPr>
              <w:spacing w:after="0"/>
              <w:rPr>
                <w:sz w:val="1"/>
                <w:szCs w:val="1"/>
                <w:color w:val="auto"/>
              </w:rPr>
            </w:pPr>
          </w:p>
        </w:tc>
      </w:tr>
      <w:tr>
        <w:trPr>
          <w:trHeight w:val="418"/>
        </w:trPr>
        <w:tc>
          <w:tcPr>
            <w:tcW w:w="396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488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0219"/>
          </w:cols>
          <w:pgMar w:left="240" w:top="341"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Marc J.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MJG-IV Limited Partnership</w:t>
            </w:r>
          </w:p>
        </w:tc>
        <w:tc>
          <w:tcPr>
            <w:tcW w:w="112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1120" w:type="dxa"/>
            <w:vAlign w:val="bottom"/>
          </w:tcPr>
          <w:p>
            <w:pPr>
              <w:spacing w:after="0"/>
              <w:rPr>
                <w:sz w:val="20"/>
                <w:szCs w:val="20"/>
                <w:color w:val="auto"/>
              </w:rPr>
            </w:pPr>
          </w:p>
        </w:tc>
      </w:tr>
      <w:tr>
        <w:trPr>
          <w:trHeight w:val="230"/>
        </w:trPr>
        <w:tc>
          <w:tcPr>
            <w:tcW w:w="3960" w:type="dxa"/>
            <w:vAlign w:val="bottom"/>
          </w:tcPr>
          <w:p>
            <w:pPr>
              <w:ind w:left="780"/>
              <w:spacing w:after="0"/>
              <w:rPr>
                <w:sz w:val="20"/>
                <w:szCs w:val="20"/>
                <w:color w:val="auto"/>
              </w:rPr>
            </w:pPr>
            <w:r>
              <w:rPr>
                <w:rFonts w:ascii="Arial" w:cs="Arial" w:eastAsia="Arial" w:hAnsi="Arial"/>
                <w:sz w:val="18"/>
                <w:szCs w:val="18"/>
                <w:color w:val="auto"/>
              </w:rPr>
              <w:t>Mario J. Gabelli</w:t>
            </w:r>
          </w:p>
        </w:tc>
        <w:tc>
          <w:tcPr>
            <w:tcW w:w="1120" w:type="dxa"/>
            <w:vAlign w:val="bottom"/>
          </w:tcPr>
          <w:p>
            <w:pPr>
              <w:spacing w:after="0"/>
              <w:rPr>
                <w:sz w:val="20"/>
                <w:szCs w:val="20"/>
                <w:color w:val="auto"/>
              </w:rPr>
            </w:pPr>
            <w:r>
              <w:rPr>
                <w:rFonts w:ascii="Arial" w:cs="Arial" w:eastAsia="Arial" w:hAnsi="Arial"/>
                <w:sz w:val="18"/>
                <w:szCs w:val="18"/>
                <w:color w:val="auto"/>
                <w:w w:val="85"/>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189"/>
        </w:trPr>
        <w:tc>
          <w:tcPr>
            <w:tcW w:w="4120" w:type="dxa"/>
            <w:vAlign w:val="bottom"/>
          </w:tcPr>
          <w:p>
            <w:pPr>
              <w:ind w:left="680"/>
              <w:spacing w:after="0" w:line="189" w:lineRule="exact"/>
              <w:rPr>
                <w:sz w:val="20"/>
                <w:szCs w:val="20"/>
                <w:color w:val="auto"/>
              </w:rPr>
            </w:pPr>
            <w:r>
              <w:rPr>
                <w:rFonts w:ascii="Arial" w:cs="Arial" w:eastAsia="Arial" w:hAnsi="Arial"/>
                <w:sz w:val="18"/>
                <w:szCs w:val="18"/>
                <w:color w:val="auto"/>
              </w:rPr>
              <w:t>Mario J. Gabelli</w:t>
            </w:r>
          </w:p>
        </w:tc>
        <w:tc>
          <w:tcPr>
            <w:tcW w:w="7040" w:type="dxa"/>
            <w:vAlign w:val="bottom"/>
            <w:gridSpan w:val="2"/>
          </w:tcPr>
          <w:p>
            <w:pPr>
              <w:spacing w:after="0" w:line="189" w:lineRule="exact"/>
              <w:rPr>
                <w:sz w:val="20"/>
                <w:szCs w:val="20"/>
                <w:color w:val="auto"/>
              </w:rPr>
            </w:pPr>
            <w:r>
              <w:rPr>
                <w:rFonts w:ascii="Arial" w:cs="Arial" w:eastAsia="Arial" w:hAnsi="Arial"/>
                <w:sz w:val="18"/>
                <w:szCs w:val="18"/>
                <w:color w:val="auto"/>
                <w:w w:val="97"/>
              </w:rPr>
              <w:t>Chief Executive Officer of GGCP, Inc., and Chairman &amp; Chief Executive Officer of GAMCO</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w w:val="90"/>
              </w:rPr>
              <w:t>Investors, Inc.; Director/Trustee of all registered investment companies advised by Gabelli Funds,</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LLC.</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Marc J.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Chairman of The LGL Group, Inc.</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2525 Shader Road</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Orlando, FL 32804</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Matthew R.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G.research, Inc.</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640"/>
              <w:spacing w:after="0"/>
              <w:rPr>
                <w:sz w:val="20"/>
                <w:szCs w:val="20"/>
                <w:color w:val="auto"/>
              </w:rPr>
            </w:pPr>
            <w:r>
              <w:rPr>
                <w:rFonts w:ascii="Arial" w:cs="Arial" w:eastAsia="Arial" w:hAnsi="Arial"/>
                <w:sz w:val="18"/>
                <w:szCs w:val="18"/>
                <w:color w:val="auto"/>
              </w:rPr>
              <w:t>Michael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Charles C. Baum</w:t>
            </w:r>
          </w:p>
        </w:tc>
        <w:tc>
          <w:tcPr>
            <w:tcW w:w="7040" w:type="dxa"/>
            <w:vAlign w:val="bottom"/>
            <w:gridSpan w:val="2"/>
          </w:tcPr>
          <w:p>
            <w:pPr>
              <w:spacing w:after="0"/>
              <w:rPr>
                <w:sz w:val="20"/>
                <w:szCs w:val="20"/>
                <w:color w:val="auto"/>
              </w:rPr>
            </w:pPr>
            <w:r>
              <w:rPr>
                <w:rFonts w:ascii="Arial" w:cs="Arial" w:eastAsia="Arial" w:hAnsi="Arial"/>
                <w:sz w:val="18"/>
                <w:szCs w:val="18"/>
                <w:color w:val="auto"/>
              </w:rPr>
              <w:t>Secretary &amp; Treasurer</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United Holdings Co., Inc.</w:t>
            </w:r>
          </w:p>
        </w:tc>
      </w:tr>
      <w:tr>
        <w:trPr>
          <w:trHeight w:val="216"/>
        </w:trPr>
        <w:tc>
          <w:tcPr>
            <w:tcW w:w="41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2545 Wilkens Avenue</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Baltimore, MD  21223</w:t>
            </w:r>
          </w:p>
        </w:tc>
      </w:tr>
      <w:tr>
        <w:trPr>
          <w:trHeight w:val="418"/>
        </w:trPr>
        <w:tc>
          <w:tcPr>
            <w:tcW w:w="4120" w:type="dxa"/>
            <w:vAlign w:val="bottom"/>
          </w:tcPr>
          <w:p>
            <w:pPr>
              <w:ind w:left="640"/>
              <w:spacing w:after="0"/>
              <w:rPr>
                <w:sz w:val="20"/>
                <w:szCs w:val="20"/>
                <w:color w:val="auto"/>
              </w:rPr>
            </w:pPr>
            <w:r>
              <w:rPr>
                <w:rFonts w:ascii="Arial" w:cs="Arial" w:eastAsia="Arial" w:hAnsi="Arial"/>
                <w:sz w:val="18"/>
                <w:szCs w:val="18"/>
                <w:color w:val="auto"/>
              </w:rPr>
              <w:t>Fredric V. Salerno</w:t>
            </w:r>
          </w:p>
        </w:tc>
        <w:tc>
          <w:tcPr>
            <w:tcW w:w="7040" w:type="dxa"/>
            <w:vAlign w:val="bottom"/>
            <w:gridSpan w:val="2"/>
          </w:tcPr>
          <w:p>
            <w:pPr>
              <w:spacing w:after="0"/>
              <w:rPr>
                <w:sz w:val="20"/>
                <w:szCs w:val="20"/>
                <w:color w:val="auto"/>
              </w:rPr>
            </w:pPr>
            <w:r>
              <w:rPr>
                <w:rFonts w:ascii="Arial" w:cs="Arial" w:eastAsia="Arial" w:hAnsi="Arial"/>
                <w:sz w:val="18"/>
                <w:szCs w:val="18"/>
                <w:color w:val="auto"/>
              </w:rPr>
              <w:t>Chairman; Former Vice Chairman and Chief Financial Officer</w:t>
            </w:r>
          </w:p>
        </w:tc>
      </w:tr>
      <w:tr>
        <w:trPr>
          <w:trHeight w:val="230"/>
        </w:trPr>
        <w:tc>
          <w:tcPr>
            <w:tcW w:w="41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34"/>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216"/>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Marc J.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30"/>
        </w:trPr>
        <w:tc>
          <w:tcPr>
            <w:tcW w:w="4120" w:type="dxa"/>
            <w:vAlign w:val="bottom"/>
          </w:tcPr>
          <w:p>
            <w:pPr>
              <w:ind w:left="680"/>
              <w:spacing w:after="0"/>
              <w:rPr>
                <w:sz w:val="20"/>
                <w:szCs w:val="20"/>
                <w:color w:val="auto"/>
              </w:rPr>
            </w:pPr>
            <w:r>
              <w:rPr>
                <w:rFonts w:ascii="Arial" w:cs="Arial" w:eastAsia="Arial" w:hAnsi="Arial"/>
                <w:sz w:val="18"/>
                <w:szCs w:val="18"/>
                <w:color w:val="auto"/>
              </w:rPr>
              <w:t>Silvio A. Berni</w:t>
            </w:r>
          </w:p>
        </w:tc>
        <w:tc>
          <w:tcPr>
            <w:tcW w:w="7040" w:type="dxa"/>
            <w:vAlign w:val="bottom"/>
            <w:gridSpan w:val="2"/>
          </w:tcPr>
          <w:p>
            <w:pPr>
              <w:spacing w:after="0"/>
              <w:rPr>
                <w:sz w:val="20"/>
                <w:szCs w:val="20"/>
                <w:color w:val="auto"/>
              </w:rPr>
            </w:pPr>
            <w:r>
              <w:rPr>
                <w:rFonts w:ascii="Arial" w:cs="Arial" w:eastAsia="Arial" w:hAnsi="Arial"/>
                <w:sz w:val="18"/>
                <w:szCs w:val="18"/>
                <w:color w:val="auto"/>
              </w:rPr>
              <w:t>Vice President, Assistant Secretary and Controller</w:t>
            </w:r>
          </w:p>
        </w:tc>
      </w:tr>
      <w:tr>
        <w:trPr>
          <w:trHeight w:val="634"/>
        </w:trPr>
        <w:tc>
          <w:tcPr>
            <w:tcW w:w="412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GGCP, Inc.</w:t>
            </w:r>
          </w:p>
        </w:tc>
        <w:tc>
          <w:tcPr>
            <w:tcW w:w="704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704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854"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Howard F. Ward</w:t>
            </w:r>
          </w:p>
        </w:tc>
        <w:tc>
          <w:tcPr>
            <w:tcW w:w="27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18"/>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2740" w:type="dxa"/>
            <w:vAlign w:val="bottom"/>
          </w:tcPr>
          <w:p>
            <w:pPr>
              <w:spacing w:after="0"/>
              <w:rPr>
                <w:sz w:val="20"/>
                <w:szCs w:val="20"/>
                <w:color w:val="auto"/>
              </w:rPr>
            </w:pPr>
            <w:r>
              <w:rPr>
                <w:rFonts w:ascii="Arial" w:cs="Arial" w:eastAsia="Arial" w:hAnsi="Arial"/>
                <w:sz w:val="18"/>
                <w:szCs w:val="18"/>
                <w:color w:val="auto"/>
                <w:w w:val="90"/>
              </w:rPr>
              <w:t>Chief Executive Officer and 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2740" w:type="dxa"/>
            <w:vAlign w:val="bottom"/>
          </w:tcPr>
          <w:p>
            <w:pPr>
              <w:spacing w:after="0"/>
              <w:rPr>
                <w:sz w:val="24"/>
                <w:szCs w:val="24"/>
                <w:color w:val="auto"/>
              </w:rPr>
            </w:pP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John Tesoro</w:t>
            </w:r>
          </w:p>
        </w:tc>
        <w:tc>
          <w:tcPr>
            <w:tcW w:w="2740" w:type="dxa"/>
            <w:vAlign w:val="bottom"/>
          </w:tcPr>
          <w:p>
            <w:pPr>
              <w:spacing w:after="0"/>
              <w:rPr>
                <w:sz w:val="24"/>
                <w:szCs w:val="24"/>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2740" w:type="dxa"/>
            <w:vAlign w:val="bottom"/>
          </w:tcPr>
          <w:p>
            <w:pPr>
              <w:spacing w:after="0"/>
              <w:rPr>
                <w:sz w:val="24"/>
                <w:szCs w:val="24"/>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Howard F. Ward</w:t>
            </w:r>
          </w:p>
        </w:tc>
        <w:tc>
          <w:tcPr>
            <w:tcW w:w="27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27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Robert S. Zuccaro</w:t>
            </w:r>
          </w:p>
        </w:tc>
        <w:tc>
          <w:tcPr>
            <w:tcW w:w="2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27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Tiffany Hayden</w:t>
            </w:r>
          </w:p>
        </w:tc>
        <w:tc>
          <w:tcPr>
            <w:tcW w:w="27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5" w:name="page16"/>
    <w:bookmarkEnd w:id="15"/>
    <w:p>
      <w:pPr>
        <w:ind w:left="154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WITH RESPECT TO</w:t>
      </w:r>
    </w:p>
    <w:p>
      <w:pPr>
        <w:spacing w:after="0" w:line="9" w:lineRule="exact"/>
        <w:rPr>
          <w:sz w:val="20"/>
          <w:szCs w:val="20"/>
          <w:color w:val="auto"/>
        </w:rPr>
      </w:pPr>
    </w:p>
    <w:p>
      <w:pPr>
        <w:ind w:left="780" w:right="4139" w:hanging="2"/>
        <w:spacing w:after="0" w:line="250" w:lineRule="auto"/>
        <w:rPr>
          <w:sz w:val="20"/>
          <w:szCs w:val="20"/>
          <w:color w:val="auto"/>
        </w:rPr>
      </w:pPr>
      <w:r>
        <w:rPr>
          <w:rFonts w:ascii="Arial" w:cs="Arial" w:eastAsia="Arial" w:hAnsi="Arial"/>
          <w:sz w:val="18"/>
          <w:szCs w:val="18"/>
          <w:color w:val="auto"/>
        </w:rPr>
        <w:t>TRANSACTIONS EFFECTED DURING THE PAST SIXTY DAYS OR SINCE THE MOST RECENT FILING ON SCHEDULE 13D (1)</w:t>
      </w:r>
    </w:p>
    <w:p>
      <w:pPr>
        <w:sectPr>
          <w:pgSz w:w="11900" w:h="16838" w:orient="portrait"/>
          <w:cols w:equalWidth="0" w:num="1">
            <w:col w:w="10219"/>
          </w:cols>
          <w:pgMar w:left="240" w:top="1098" w:right="1440" w:bottom="1440" w:gutter="0" w:footer="0" w:header="0"/>
        </w:sectPr>
      </w:pP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jc w:val="center"/>
        <w:ind w:right="5639"/>
        <w:spacing w:after="0"/>
        <w:tabs>
          <w:tab w:leader="none" w:pos="340" w:val="left"/>
        </w:tabs>
        <w:rPr>
          <w:sz w:val="20"/>
          <w:szCs w:val="20"/>
          <w:color w:val="auto"/>
        </w:rPr>
      </w:pPr>
      <w:r>
        <w:rPr>
          <w:rFonts w:ascii="Arial" w:cs="Arial" w:eastAsia="Arial" w:hAnsi="Arial"/>
          <w:sz w:val="18"/>
          <w:szCs w:val="18"/>
          <w:color w:val="auto"/>
        </w:rPr>
        <w:t>SHARES PURCHASED</w:t>
      </w:r>
      <w:r>
        <w:rPr>
          <w:sz w:val="20"/>
          <w:szCs w:val="20"/>
          <w:color w:val="auto"/>
        </w:rPr>
        <w:tab/>
      </w:r>
      <w:r>
        <w:rPr>
          <w:rFonts w:ascii="Arial" w:cs="Arial" w:eastAsia="Arial" w:hAnsi="Arial"/>
          <w:sz w:val="17"/>
          <w:szCs w:val="17"/>
          <w:color w:val="auto"/>
        </w:rPr>
        <w:t>AVERAGE</w:t>
      </w:r>
    </w:p>
    <w:p>
      <w:pPr>
        <w:spacing w:after="0" w:line="9" w:lineRule="exact"/>
        <w:rPr>
          <w:sz w:val="20"/>
          <w:szCs w:val="20"/>
          <w:color w:val="auto"/>
        </w:rPr>
      </w:pPr>
    </w:p>
    <w:p>
      <w:pPr>
        <w:jc w:val="center"/>
        <w:ind w:right="5679"/>
        <w:spacing w:after="0"/>
        <w:tabs>
          <w:tab w:leader="none" w:pos="560" w:val="left"/>
        </w:tabs>
        <w:rPr>
          <w:sz w:val="20"/>
          <w:szCs w:val="20"/>
          <w:color w:val="auto"/>
        </w:rPr>
      </w:pPr>
      <w:r>
        <w:rPr>
          <w:rFonts w:ascii="Arial" w:cs="Arial" w:eastAsia="Arial" w:hAnsi="Arial"/>
          <w:sz w:val="18"/>
          <w:szCs w:val="18"/>
          <w:color w:val="auto"/>
        </w:rPr>
        <w:t>SOLD(-)</w:t>
      </w:r>
      <w:r>
        <w:rPr>
          <w:sz w:val="20"/>
          <w:szCs w:val="20"/>
          <w:color w:val="auto"/>
        </w:rPr>
        <w:tab/>
      </w:r>
      <w:r>
        <w:rPr>
          <w:rFonts w:ascii="Arial" w:cs="Arial" w:eastAsia="Arial" w:hAnsi="Arial"/>
          <w:sz w:val="16"/>
          <w:szCs w:val="16"/>
          <w:color w:val="auto"/>
        </w:rPr>
        <w:t>PRICE(2)</w:t>
      </w:r>
    </w:p>
    <w:p>
      <w:pPr>
        <w:spacing w:after="0" w:line="200" w:lineRule="exact"/>
        <w:rPr>
          <w:sz w:val="20"/>
          <w:szCs w:val="20"/>
          <w:color w:val="auto"/>
        </w:rPr>
      </w:pPr>
    </w:p>
    <w:p>
      <w:pPr>
        <w:sectPr>
          <w:pgSz w:w="11900" w:h="16838" w:orient="portrait"/>
          <w:cols w:equalWidth="0" w:num="2">
            <w:col w:w="1540" w:space="40"/>
            <w:col w:w="8639"/>
          </w:cols>
          <w:pgMar w:left="240" w:top="1098" w:right="1440" w:bottom="1440" w:gutter="0" w:footer="0" w:header="0"/>
          <w:type w:val="continuous"/>
        </w:sectPr>
      </w:pP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COMMON STOCK-SOUTHWEST GAS CORP.</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GAMCO ASSET MANAGEMENT INC.</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8/03/15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760" w:type="dxa"/>
            <w:vAlign w:val="bottom"/>
          </w:tcPr>
          <w:p>
            <w:pPr>
              <w:jc w:val="right"/>
              <w:spacing w:after="0"/>
              <w:rPr>
                <w:sz w:val="20"/>
                <w:szCs w:val="20"/>
                <w:color w:val="auto"/>
              </w:rPr>
            </w:pPr>
            <w:r>
              <w:rPr>
                <w:rFonts w:ascii="Arial" w:cs="Arial" w:eastAsia="Arial" w:hAnsi="Arial"/>
                <w:sz w:val="18"/>
                <w:szCs w:val="18"/>
                <w:color w:val="auto"/>
              </w:rPr>
              <w:t>56.1315</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7/31/15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1,100-</w:t>
            </w:r>
          </w:p>
        </w:tc>
        <w:tc>
          <w:tcPr>
            <w:tcW w:w="760" w:type="dxa"/>
            <w:vAlign w:val="bottom"/>
          </w:tcPr>
          <w:p>
            <w:pPr>
              <w:jc w:val="right"/>
              <w:spacing w:after="0"/>
              <w:rPr>
                <w:sz w:val="20"/>
                <w:szCs w:val="20"/>
                <w:color w:val="auto"/>
              </w:rPr>
            </w:pPr>
            <w:r>
              <w:rPr>
                <w:rFonts w:ascii="Arial" w:cs="Arial" w:eastAsia="Arial" w:hAnsi="Arial"/>
                <w:sz w:val="18"/>
                <w:szCs w:val="18"/>
                <w:color w:val="auto"/>
              </w:rPr>
              <w:t>56.5952</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7/27/15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1,430-</w:t>
            </w:r>
          </w:p>
        </w:tc>
        <w:tc>
          <w:tcPr>
            <w:tcW w:w="760" w:type="dxa"/>
            <w:vAlign w:val="bottom"/>
          </w:tcPr>
          <w:p>
            <w:pPr>
              <w:jc w:val="right"/>
              <w:spacing w:after="0"/>
              <w:rPr>
                <w:sz w:val="20"/>
                <w:szCs w:val="20"/>
                <w:color w:val="auto"/>
              </w:rPr>
            </w:pPr>
            <w:r>
              <w:rPr>
                <w:rFonts w:ascii="Arial" w:cs="Arial" w:eastAsia="Arial" w:hAnsi="Arial"/>
                <w:sz w:val="18"/>
                <w:szCs w:val="18"/>
                <w:color w:val="auto"/>
              </w:rPr>
              <w:t>55.7296</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7/27/15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700-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55.3286</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7/24/15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800-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55.2000</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7/23/15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500-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54.7000</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7/22/15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400-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55.3000</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6/26/15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900-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53.7003</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6/26/15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rPr>
              <w:t>*DO</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6/25/15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6,600-</w:t>
            </w:r>
          </w:p>
        </w:tc>
        <w:tc>
          <w:tcPr>
            <w:tcW w:w="760" w:type="dxa"/>
            <w:vAlign w:val="bottom"/>
          </w:tcPr>
          <w:p>
            <w:pPr>
              <w:jc w:val="right"/>
              <w:spacing w:after="0"/>
              <w:rPr>
                <w:sz w:val="20"/>
                <w:szCs w:val="20"/>
                <w:color w:val="auto"/>
              </w:rPr>
            </w:pPr>
            <w:r>
              <w:rPr>
                <w:rFonts w:ascii="Arial" w:cs="Arial" w:eastAsia="Arial" w:hAnsi="Arial"/>
                <w:sz w:val="18"/>
                <w:szCs w:val="18"/>
                <w:color w:val="auto"/>
              </w:rPr>
              <w:t>53.1393</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6/24/15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53.3500</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6/23/15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500-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53.3826</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6/23/15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700-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53.6743</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6/23/15</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600-</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53.4447</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6/17/15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rPr>
              <w:t>*DO</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6/16/15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4,000-</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rPr>
              <w:t>*DO</w:t>
            </w:r>
          </w:p>
        </w:tc>
      </w:tr>
      <w:tr>
        <w:trPr>
          <w:trHeight w:val="216"/>
        </w:trPr>
        <w:tc>
          <w:tcPr>
            <w:tcW w:w="1400" w:type="dxa"/>
            <w:vAlign w:val="bottom"/>
          </w:tcPr>
          <w:p>
            <w:pPr>
              <w:jc w:val="right"/>
              <w:ind w:right="190"/>
              <w:spacing w:after="0"/>
              <w:rPr>
                <w:sz w:val="20"/>
                <w:szCs w:val="20"/>
                <w:color w:val="auto"/>
              </w:rPr>
            </w:pPr>
            <w:r>
              <w:rPr>
                <w:rFonts w:ascii="Arial" w:cs="Arial" w:eastAsia="Arial" w:hAnsi="Arial"/>
                <w:sz w:val="18"/>
                <w:szCs w:val="18"/>
                <w:color w:val="auto"/>
              </w:rPr>
              <w:t>6/11/15</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250-</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*DO</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GABELLI FUNDS, LLC.</w:t>
            </w:r>
          </w:p>
        </w:tc>
        <w:tc>
          <w:tcPr>
            <w:tcW w:w="760" w:type="dxa"/>
            <w:vAlign w:val="bottom"/>
          </w:tcPr>
          <w:p>
            <w:pPr>
              <w:spacing w:after="0"/>
              <w:rPr>
                <w:sz w:val="18"/>
                <w:szCs w:val="18"/>
                <w:color w:val="auto"/>
              </w:rPr>
            </w:pPr>
          </w:p>
        </w:tc>
      </w:tr>
      <w:tr>
        <w:trPr>
          <w:trHeight w:val="216"/>
        </w:trPr>
        <w:tc>
          <w:tcPr>
            <w:tcW w:w="2460" w:type="dxa"/>
            <w:vAlign w:val="bottom"/>
            <w:gridSpan w:val="2"/>
          </w:tcPr>
          <w:p>
            <w:pPr>
              <w:ind w:left="140"/>
              <w:spacing w:after="0"/>
              <w:rPr>
                <w:sz w:val="20"/>
                <w:szCs w:val="20"/>
                <w:color w:val="auto"/>
              </w:rPr>
            </w:pPr>
            <w:r>
              <w:rPr>
                <w:rFonts w:ascii="Arial" w:cs="Arial" w:eastAsia="Arial" w:hAnsi="Arial"/>
                <w:sz w:val="18"/>
                <w:szCs w:val="18"/>
                <w:color w:val="auto"/>
              </w:rPr>
              <w:t>GABELLI UTILITIES FUND</w:t>
            </w:r>
          </w:p>
        </w:tc>
        <w:tc>
          <w:tcPr>
            <w:tcW w:w="760" w:type="dxa"/>
            <w:vAlign w:val="bottom"/>
          </w:tcPr>
          <w:p>
            <w:pPr>
              <w:spacing w:after="0"/>
              <w:rPr>
                <w:sz w:val="18"/>
                <w:szCs w:val="18"/>
                <w:color w:val="auto"/>
              </w:rPr>
            </w:pP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7/02/15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760" w:type="dxa"/>
            <w:vAlign w:val="bottom"/>
          </w:tcPr>
          <w:p>
            <w:pPr>
              <w:jc w:val="right"/>
              <w:spacing w:after="0"/>
              <w:rPr>
                <w:sz w:val="20"/>
                <w:szCs w:val="20"/>
                <w:color w:val="auto"/>
              </w:rPr>
            </w:pPr>
            <w:r>
              <w:rPr>
                <w:rFonts w:ascii="Arial" w:cs="Arial" w:eastAsia="Arial" w:hAnsi="Arial"/>
                <w:sz w:val="18"/>
                <w:szCs w:val="18"/>
                <w:color w:val="auto"/>
              </w:rPr>
              <w:t>53.9931</w:t>
            </w:r>
          </w:p>
        </w:tc>
      </w:tr>
      <w:tr>
        <w:trPr>
          <w:trHeight w:val="216"/>
        </w:trPr>
        <w:tc>
          <w:tcPr>
            <w:tcW w:w="3220" w:type="dxa"/>
            <w:vAlign w:val="bottom"/>
            <w:gridSpan w:val="3"/>
          </w:tcPr>
          <w:p>
            <w:pPr>
              <w:ind w:left="140"/>
              <w:spacing w:after="0"/>
              <w:rPr>
                <w:sz w:val="20"/>
                <w:szCs w:val="20"/>
                <w:color w:val="auto"/>
              </w:rPr>
            </w:pPr>
            <w:r>
              <w:rPr>
                <w:rFonts w:ascii="Arial" w:cs="Arial" w:eastAsia="Arial" w:hAnsi="Arial"/>
                <w:sz w:val="18"/>
                <w:szCs w:val="18"/>
                <w:color w:val="auto"/>
              </w:rPr>
              <w:t>GABELLI EQUITY INCOME FUND</w:t>
            </w:r>
          </w:p>
        </w:tc>
      </w:tr>
      <w:tr>
        <w:trPr>
          <w:trHeight w:val="230"/>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7/13/15</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55.1500</w:t>
            </w:r>
          </w:p>
        </w:tc>
      </w:tr>
    </w:tbl>
    <w:p>
      <w:pPr>
        <w:spacing w:after="0" w:line="229" w:lineRule="exact"/>
        <w:rPr>
          <w:sz w:val="20"/>
          <w:szCs w:val="20"/>
          <w:color w:val="auto"/>
        </w:rPr>
      </w:pPr>
    </w:p>
    <w:p>
      <w:pPr>
        <w:ind w:left="180" w:right="3859" w:hanging="172"/>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INDICATED, ALL TRANSACTIONS WERE EFFECTED ON THE NYSE.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EXCLUDES COMMISSION.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RESULTS IN CHANGE OF DISPOSITIVE POWER AND BENEFICIAL OWNERSHIP.</w:t>
      </w: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13</w:t>
      </w:r>
    </w:p>
    <w:sectPr>
      <w:pgSz w:w="11900" w:h="16838" w:orient="portrait"/>
      <w:cols w:equalWidth="0" w:num="1">
        <w:col w:w="10219"/>
      </w:cols>
      <w:pgMar w:left="240" w:top="10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bullet"/>
      <w:start w:val="1"/>
    </w:lvl>
  </w:abstractNum>
  <w:abstractNum w:abstractNumId="1">
    <w:nsid w:val="628C895D"/>
    <w:multiLevelType w:val="hybridMultilevel"/>
    <w:lvl w:ilvl="0">
      <w:lvlJc w:val="left"/>
      <w:lvlText w:val="2"/>
      <w:numFmt w:val="bullet"/>
      <w:start w:val="1"/>
    </w:lvl>
  </w:abstractNum>
  <w:abstractNum w:abstractNumId="2">
    <w:nsid w:val="333AB105"/>
    <w:multiLevelType w:val="hybridMultilevel"/>
    <w:lvl w:ilvl="0">
      <w:lvlJc w:val="left"/>
      <w:lvlText w:val="3"/>
      <w:numFmt w:val="bullet"/>
      <w:start w:val="1"/>
    </w:lvl>
  </w:abstractNum>
  <w:abstractNum w:abstractNumId="3">
    <w:nsid w:val="721DA317"/>
    <w:multiLevelType w:val="hybridMultilevel"/>
    <w:lvl w:ilvl="0">
      <w:lvlJc w:val="left"/>
      <w:lvlText w:val="4"/>
      <w:numFmt w:val="bullet"/>
      <w:start w:val="1"/>
    </w:lvl>
  </w:abstractNum>
  <w:abstractNum w:abstractNumId="4">
    <w:nsid w:val="2443A858"/>
    <w:multiLevelType w:val="hybridMultilevel"/>
    <w:lvl w:ilvl="0">
      <w:lvlJc w:val="left"/>
      <w:lvlText w:val="5"/>
      <w:numFmt w:val="bullet"/>
      <w:start w:val="1"/>
    </w:lvl>
  </w:abstractNum>
  <w:abstractNum w:abstractNumId="5">
    <w:nsid w:val="2D1D5AE9"/>
    <w:multiLevelType w:val="hybridMultilevel"/>
    <w:lvl w:ilvl="0">
      <w:lvlJc w:val="left"/>
      <w:lvlText w:val="6"/>
      <w:numFmt w:val="bullet"/>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bullet"/>
      <w:start w:val="1"/>
    </w:lvl>
  </w:abstractNum>
  <w:abstractNum w:abstractNumId="8">
    <w:nsid w:val="8EDBDAB"/>
    <w:multiLevelType w:val="hybridMultilevel"/>
    <w:lvl w:ilvl="0">
      <w:lvlJc w:val="left"/>
      <w:lvlText w:val="2"/>
      <w:numFmt w:val="bullet"/>
      <w:start w:val="1"/>
    </w:lvl>
  </w:abstractNum>
  <w:abstractNum w:abstractNumId="9">
    <w:nsid w:val="79838CB2"/>
    <w:multiLevelType w:val="hybridMultilevel"/>
    <w:lvl w:ilvl="0">
      <w:lvlJc w:val="left"/>
      <w:lvlText w:val="3"/>
      <w:numFmt w:val="bullet"/>
      <w:start w:val="1"/>
    </w:lvl>
  </w:abstractNum>
  <w:abstractNum w:abstractNumId="10">
    <w:nsid w:val="4353D0CD"/>
    <w:multiLevelType w:val="hybridMultilevel"/>
    <w:lvl w:ilvl="0">
      <w:lvlJc w:val="left"/>
      <w:lvlText w:val="4"/>
      <w:numFmt w:val="bullet"/>
      <w:start w:val="1"/>
    </w:lvl>
  </w:abstractNum>
  <w:abstractNum w:abstractNumId="11">
    <w:nsid w:val="B03E0C6"/>
    <w:multiLevelType w:val="hybridMultilevel"/>
    <w:lvl w:ilvl="0">
      <w:lvlJc w:val="left"/>
      <w:lvlText w:val="5"/>
      <w:numFmt w:val="bullet"/>
      <w:start w:val="1"/>
    </w:lvl>
  </w:abstractNum>
  <w:abstractNum w:abstractNumId="12">
    <w:nsid w:val="189A769B"/>
    <w:multiLevelType w:val="hybridMultilevel"/>
    <w:lvl w:ilvl="0">
      <w:lvlJc w:val="left"/>
      <w:lvlText w:val="6"/>
      <w:numFmt w:val="bullet"/>
      <w:start w:val="1"/>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1"/>
      <w:numFmt w:val="bullet"/>
      <w:start w:val="1"/>
    </w:lvl>
  </w:abstractNum>
  <w:abstractNum w:abstractNumId="15">
    <w:nsid w:val="2CA88611"/>
    <w:multiLevelType w:val="hybridMultilevel"/>
    <w:lvl w:ilvl="0">
      <w:lvlJc w:val="left"/>
      <w:lvlText w:val="2"/>
      <w:numFmt w:val="bullet"/>
      <w:start w:val="1"/>
    </w:lvl>
  </w:abstractNum>
  <w:abstractNum w:abstractNumId="16">
    <w:nsid w:val="836C40E"/>
    <w:multiLevelType w:val="hybridMultilevel"/>
    <w:lvl w:ilvl="0">
      <w:lvlJc w:val="left"/>
      <w:lvlText w:val="3"/>
      <w:numFmt w:val="bullet"/>
      <w:start w:val="1"/>
    </w:lvl>
  </w:abstractNum>
  <w:abstractNum w:abstractNumId="17">
    <w:nsid w:val="2901D82"/>
    <w:multiLevelType w:val="hybridMultilevel"/>
    <w:lvl w:ilvl="0">
      <w:lvlJc w:val="left"/>
      <w:lvlText w:val="4"/>
      <w:numFmt w:val="bullet"/>
      <w:start w:val="1"/>
    </w:lvl>
  </w:abstractNum>
  <w:abstractNum w:abstractNumId="18">
    <w:nsid w:val="3A95F874"/>
    <w:multiLevelType w:val="hybridMultilevel"/>
    <w:lvl w:ilvl="0">
      <w:lvlJc w:val="left"/>
      <w:lvlText w:val="5"/>
      <w:numFmt w:val="bullet"/>
      <w:start w:val="1"/>
    </w:lvl>
  </w:abstractNum>
  <w:abstractNum w:abstractNumId="19">
    <w:nsid w:val="8138641"/>
    <w:multiLevelType w:val="hybridMultilevel"/>
    <w:lvl w:ilvl="0">
      <w:lvlJc w:val="left"/>
      <w:lvlText w:val="6"/>
      <w:numFmt w:val="bullet"/>
      <w:start w:val="1"/>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2"/>
      <w:numFmt w:val="bullet"/>
      <w:start w:val="1"/>
    </w:lvl>
  </w:abstractNum>
  <w:abstractNum w:abstractNumId="22">
    <w:nsid w:val="737B8DDC"/>
    <w:multiLevelType w:val="hybridMultilevel"/>
    <w:lvl w:ilvl="0">
      <w:lvlJc w:val="left"/>
      <w:lvlText w:val="3"/>
      <w:numFmt w:val="bullet"/>
      <w:start w:val="1"/>
    </w:lvl>
  </w:abstractNum>
  <w:abstractNum w:abstractNumId="23">
    <w:nsid w:val="6CEAF087"/>
    <w:multiLevelType w:val="hybridMultilevel"/>
    <w:lvl w:ilvl="0">
      <w:lvlJc w:val="left"/>
      <w:lvlText w:val="4"/>
      <w:numFmt w:val="bullet"/>
      <w:start w:val="1"/>
    </w:lvl>
  </w:abstractNum>
  <w:abstractNum w:abstractNumId="24">
    <w:nsid w:val="22221A70"/>
    <w:multiLevelType w:val="hybridMultilevel"/>
    <w:lvl w:ilvl="0">
      <w:lvlJc w:val="left"/>
      <w:lvlText w:val="5"/>
      <w:numFmt w:val="bullet"/>
      <w:start w:val="1"/>
    </w:lvl>
  </w:abstractNum>
  <w:abstractNum w:abstractNumId="25">
    <w:nsid w:val="4516DDE9"/>
    <w:multiLevelType w:val="hybridMultilevel"/>
    <w:lvl w:ilvl="0">
      <w:lvlJc w:val="left"/>
      <w:lvlText w:val="6"/>
      <w:numFmt w:val="bullet"/>
      <w:start w:val="1"/>
    </w:lvl>
  </w:abstractNum>
  <w:abstractNum w:abstractNumId="26">
    <w:nsid w:val="3006C83E"/>
    <w:multiLevelType w:val="hybridMultilevel"/>
    <w:lvl w:ilvl="0">
      <w:lvlJc w:val="left"/>
      <w:lvlText w:val="%1"/>
      <w:numFmt w:val="decimal"/>
      <w:start w:val="11"/>
    </w:lvl>
  </w:abstractNum>
  <w:abstractNum w:abstractNumId="27">
    <w:nsid w:val="614FD4A1"/>
    <w:multiLevelType w:val="hybridMultilevel"/>
    <w:lvl w:ilvl="0">
      <w:lvlJc w:val="left"/>
      <w:lvlText w:val="1"/>
      <w:numFmt w:val="bullet"/>
      <w:start w:val="1"/>
    </w:lvl>
  </w:abstractNum>
  <w:abstractNum w:abstractNumId="28">
    <w:nsid w:val="419AC241"/>
    <w:multiLevelType w:val="hybridMultilevel"/>
    <w:lvl w:ilvl="0">
      <w:lvlJc w:val="left"/>
      <w:lvlText w:val="2"/>
      <w:numFmt w:val="bullet"/>
      <w:start w:val="1"/>
    </w:lvl>
  </w:abstractNum>
  <w:abstractNum w:abstractNumId="29">
    <w:nsid w:val="5577F8E1"/>
    <w:multiLevelType w:val="hybridMultilevel"/>
    <w:lvl w:ilvl="0">
      <w:lvlJc w:val="left"/>
      <w:lvlText w:val="3"/>
      <w:numFmt w:val="bullet"/>
      <w:start w:val="1"/>
    </w:lvl>
  </w:abstractNum>
  <w:abstractNum w:abstractNumId="30">
    <w:nsid w:val="440BADFC"/>
    <w:multiLevelType w:val="hybridMultilevel"/>
    <w:lvl w:ilvl="0">
      <w:lvlJc w:val="left"/>
      <w:lvlText w:val="4"/>
      <w:numFmt w:val="bullet"/>
      <w:start w:val="1"/>
    </w:lvl>
  </w:abstractNum>
  <w:abstractNum w:abstractNumId="31">
    <w:nsid w:val="5072367"/>
    <w:multiLevelType w:val="hybridMultilevel"/>
    <w:lvl w:ilvl="0">
      <w:lvlJc w:val="left"/>
      <w:lvlText w:val="5"/>
      <w:numFmt w:val="bullet"/>
      <w:start w:val="1"/>
    </w:lvl>
  </w:abstractNum>
  <w:abstractNum w:abstractNumId="32">
    <w:nsid w:val="3804823E"/>
    <w:multiLevelType w:val="hybridMultilevel"/>
    <w:lvl w:ilvl="0">
      <w:lvlJc w:val="left"/>
      <w:lvlText w:val="6"/>
      <w:numFmt w:val="bullet"/>
      <w:start w:val="1"/>
    </w:lvl>
  </w:abstractNum>
  <w:abstractNum w:abstractNumId="33">
    <w:nsid w:val="77465F01"/>
    <w:multiLevelType w:val="hybridMultilevel"/>
    <w:lvl w:ilvl="0">
      <w:lvlJc w:val="left"/>
      <w:lvlText w:val="%1"/>
      <w:numFmt w:val="decimal"/>
      <w:start w:val="11"/>
    </w:lvl>
  </w:abstractNum>
  <w:abstractNum w:abstractNumId="34">
    <w:nsid w:val="7724C67E"/>
    <w:multiLevelType w:val="hybridMultilevel"/>
    <w:lvl w:ilvl="0">
      <w:lvlJc w:val="left"/>
      <w:lvlText w:val="%1"/>
      <w:numFmt w:val="lowerLetter"/>
      <w:start w:val="1"/>
    </w:lvl>
    <w:lvl w:ilvl="1">
      <w:lvlJc w:val="left"/>
      <w:lvlText w:val="(%2)"/>
      <w:numFmt w:val="lowerLetter"/>
      <w:start w:val="4"/>
    </w:lvl>
  </w:abstractNum>
  <w:abstractNum w:abstractNumId="35">
    <w:nsid w:val="5C482A97"/>
    <w:multiLevelType w:val="hybridMultilevel"/>
    <w:lvl w:ilvl="0">
      <w:lvlJc w:val="left"/>
      <w:lvlText w:val="(%1)"/>
      <w:numFmt w:val="lowerLetter"/>
      <w:start w:val="6"/>
    </w:lvl>
    <w:lvl w:ilvl="1">
      <w:lvlJc w:val="left"/>
      <w:lvlText w:val="%2"/>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2"/>
    </w:lvl>
  </w:abstractNum>
  <w:abstractNum w:abstractNumId="38">
    <w:nsid w:val="51EAD36B"/>
    <w:multiLevelType w:val="hybridMultilevel"/>
    <w:lvl w:ilvl="0">
      <w:lvlJc w:val="left"/>
      <w:lvlText w:val="(%1)"/>
      <w:numFmt w:val="lowerLetter"/>
      <w:start w:val="5"/>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2019-12-16T05:08:09Z</dcterms:created>
  <dcterms:modified xsi:type="dcterms:W3CDTF">2019-12-16T05:08:09Z</dcterms:modified>
</cp:coreProperties>
</file>