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 (Amendment No. 19)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Southwest Gas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$1.00 Par Value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___________________844895102___________________</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10580-1435</w:t>
      </w:r>
    </w:p>
    <w:p>
      <w:pPr>
        <w:spacing w:after="0" w:line="238" w:lineRule="auto"/>
        <w:rPr>
          <w:sz w:val="20"/>
          <w:szCs w:val="20"/>
          <w:color w:val="auto"/>
        </w:rPr>
      </w:pPr>
      <w:r>
        <w:rPr>
          <w:rFonts w:ascii="Courier New" w:cs="Courier New" w:eastAsia="Courier New" w:hAnsi="Courier New"/>
          <w:sz w:val="18"/>
          <w:szCs w:val="18"/>
          <w:color w:val="auto"/>
        </w:rPr>
        <w:t>(914) 921-5294</w:t>
      </w:r>
    </w:p>
    <w:p>
      <w:pPr>
        <w:spacing w:after="0" w:line="5"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______________________April 25, 2002______________________</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Gabelli Funds, LLC I.D. NO.</w:t>
      </w:r>
      <w:r>
        <w:rPr>
          <w:sz w:val="20"/>
          <w:szCs w:val="20"/>
          <w:color w:val="auto"/>
        </w:rPr>
        <w:tab/>
      </w:r>
      <w:r>
        <w:rPr>
          <w:rFonts w:ascii="Courier New" w:cs="Courier New" w:eastAsia="Courier New" w:hAnsi="Courier New"/>
          <w:sz w:val="16"/>
          <w:szCs w:val="16"/>
          <w:color w:val="auto"/>
        </w:rPr>
        <w:t>13-4044523</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ectPr>
          <w:pgSz w:w="11900" w:h="16855"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846,000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846,000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846,000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2.58%</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GAMCO Investors, Inc. I.D. NO.</w:t>
      </w:r>
      <w:r>
        <w:rPr>
          <w:sz w:val="20"/>
          <w:szCs w:val="20"/>
          <w:color w:val="auto"/>
        </w:rPr>
        <w:tab/>
      </w:r>
      <w:r>
        <w:rPr>
          <w:rFonts w:ascii="Courier New" w:cs="Courier New" w:eastAsia="Courier New" w:hAnsi="Courier New"/>
          <w:sz w:val="16"/>
          <w:szCs w:val="16"/>
          <w:color w:val="auto"/>
        </w:rPr>
        <w:t>13-4044521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00-Funds of investment advisory clients</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2,252,980</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2,394,480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2,394,480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7.31%</w:t>
      </w:r>
    </w:p>
    <w:p>
      <w:pPr>
        <w:spacing w:after="0" w:line="238" w:lineRule="auto"/>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Gabelli Foundation, Inc. I.D. NO.</w:t>
      </w:r>
      <w:r>
        <w:rPr>
          <w:sz w:val="20"/>
          <w:szCs w:val="20"/>
          <w:color w:val="auto"/>
        </w:rPr>
        <w:tab/>
      </w:r>
      <w:r>
        <w:rPr>
          <w:rFonts w:ascii="Courier New" w:cs="Courier New" w:eastAsia="Courier New" w:hAnsi="Courier New"/>
          <w:sz w:val="16"/>
          <w:szCs w:val="16"/>
          <w:color w:val="auto"/>
        </w:rPr>
        <w:t>94-2975159</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N(SEE INSTRUCTIONS)</w:t>
      </w:r>
    </w:p>
    <w:p>
      <w:pPr>
        <w:ind w:left="54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541"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00-PRIVATE FOUNDATION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Gabelli Group Capital Partners, Inc. I.D. NO. 13-3056041 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Gabelli Asset Management Inc. I.D. NO. 13-4007862 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ectPr>
          <w:pgSz w:w="11900" w:h="16838" w:orient="portrait"/>
          <w:cols w:equalWidth="0" w:num="1">
            <w:col w:w="10219"/>
          </w:cols>
          <w:pgMar w:left="240" w:top="33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2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44"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38" w:lineRule="auto"/>
        <w:rPr>
          <w:sz w:val="20"/>
          <w:szCs w:val="20"/>
          <w:color w:val="auto"/>
        </w:rPr>
      </w:pPr>
      <w:r>
        <w:rPr>
          <w:rFonts w:ascii="Courier New" w:cs="Courier New" w:eastAsia="Courier New" w:hAnsi="Courier New"/>
          <w:sz w:val="18"/>
          <w:szCs w:val="18"/>
          <w:color w:val="auto"/>
        </w:rPr>
        <w:t>This Amendment No. 19 to Schedule 13D on the Common Stock of</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Southwest Gas Corporation (the "Issuer") is being filed on behalf of the undersigned to amend the Schedule 13D, as amended (the "Schedule 13D") which was originally filed on February 18, 1997. Unless otherwise indicated, all capitalized terms used herein but not defined herein shall have the same meanings as set forth in the Schedule 13D.</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This statement is being filed by Mario J. Gabelli ("Mario Gabelli"), Marc J. Gabelli ("Marc Gabelli") and various entities which either one directly or indirectly controls or for which either one acts as chief investment officer. These entities, except for Lynch Corporation ("Lynch"), Western New Mexico Telephone Company ("Western New Mexico"), Lynch Telephone Corporation ("Lynch Telephone"), Lynch Interactive Corporation ("Interactive"), Brighton Communications Corporation ("Brighton") and Inter-Community Telephone Company ("Inter-Community") (collectively, "Lynch and its affiliates"),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5"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87"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(a), (b) and (c) - This statement is being filed by one or more of the following persons: Gabelli Group Capital Partners, Inc. ("Gabelli Partners"), Gabelli Asset Management Inc. ("GAMI"), Gabelli Funds, LLC ("Gabelli Funds"), GAMCO Investors, Inc. ("GAMCO"), Gabelli Securities, Inc. ("GSI"), Gabelli &amp; Company, Inc. ("Gabelli &amp; Company"), Gabelli Performance Partnership L.P. ("GPP"), Gabelli Associates Fund ("Gabelli Associates"), Gabelli Associates Limited ("GAL"), Gabelli &amp; Company, Inc. Profit Sharing Plan (the "Plan"), Gabelli International Limited ("GIL"), Gabelli International II Limited ("GLI II"), ALCE Partners, L.P. ("ALCE"), Gabelli Multimedia Partners, L.P. ("Multimedia Partners"), MJG Associates, Inc. ("MJG Associates"), Gemini Capital Management LLC ("Gemini"), Gabelli Fund, LDC ("LDC"), Gabelli</w:t>
      </w:r>
    </w:p>
    <w:p>
      <w:pPr>
        <w:sectPr>
          <w:pgSz w:w="11900" w:h="16838" w:orient="portrait"/>
          <w:cols w:equalWidth="0" w:num="1">
            <w:col w:w="10219"/>
          </w:cols>
          <w:pgMar w:left="240" w:top="339" w:right="1440" w:bottom="0" w:gutter="0" w:footer="0" w:header="0"/>
        </w:sectPr>
      </w:pPr>
    </w:p>
    <w:bookmarkStart w:id="10" w:name="page11"/>
    <w:bookmarkEnd w:id="10"/>
    <w:p>
      <w:pPr>
        <w:ind w:left="120" w:right="1879" w:hanging="104"/>
        <w:spacing w:after="0" w:line="268" w:lineRule="auto"/>
        <w:rPr>
          <w:sz w:val="20"/>
          <w:szCs w:val="20"/>
          <w:color w:val="auto"/>
        </w:rPr>
      </w:pPr>
      <w:r>
        <w:rPr>
          <w:rFonts w:ascii="Courier New" w:cs="Courier New" w:eastAsia="Courier New" w:hAnsi="Courier New"/>
          <w:sz w:val="16"/>
          <w:szCs w:val="16"/>
          <w:color w:val="auto"/>
        </w:rPr>
        <w:t>Foundation, Inc. ("Foundation"), Gabelli Global Partners Master Fund, Ltd. ("GGP "), Gabelli European Partners Master Fund, Ltd. ("GEP "), Mario Gabelli,</w:t>
      </w:r>
    </w:p>
    <w:p>
      <w:pPr>
        <w:ind w:right="1999"/>
        <w:spacing w:after="0" w:line="236" w:lineRule="auto"/>
        <w:rPr>
          <w:sz w:val="20"/>
          <w:szCs w:val="20"/>
          <w:color w:val="auto"/>
        </w:rPr>
      </w:pPr>
      <w:r>
        <w:rPr>
          <w:rFonts w:ascii="Courier New" w:cs="Courier New" w:eastAsia="Courier New" w:hAnsi="Courier New"/>
          <w:sz w:val="18"/>
          <w:szCs w:val="18"/>
          <w:color w:val="auto"/>
        </w:rPr>
        <w:t>Marc Gabelli, Lynch, Western New Mexico, Lynch Telecom, Lynch Telephone and Inter-Community. Those of the foregoing persons signing this Schedule 13D are hereafter referred to as the "Reporting Persons".</w:t>
      </w:r>
    </w:p>
    <w:p>
      <w:pPr>
        <w:spacing w:after="0" w:line="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Gabelli Partners makes investments for its own account and is the parent company of GAMI. GAMI, a public company listed on the New York Stock Exchange, is the parent company for a variety of companies engaged in the securities business, each of which is named below.</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6"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GSI, a majority 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pacing w:after="0" w:line="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5"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Gabelli Associates is a New York limited partnership whose primary business purpose is risk arbitrage investments. GSI and Mario Gabelli are the general partners of Gabelli Associates.</w:t>
      </w:r>
    </w:p>
    <w:p>
      <w:pPr>
        <w:spacing w:after="0" w:line="6"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1"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Gabelli Funds, a wholly owned subsidiary of GAMI, is a limited liability company. Gabelli Funds is an investment adviser registered under the Advisers Act which presently provides discretionary managed account services for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and The Gabelli Blue Chip Value Fund (collectively, the "Funds"), which are registered investment companies.</w:t>
      </w:r>
    </w:p>
    <w:p>
      <w:pPr>
        <w:spacing w:after="0" w:line="2"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Gabelli Advisers, Inc. ("Gabelli Advisers"), a subsidiary of GAMI, is an investment adviser which provides discretionary advisory services to The Gabelli Westwood Mighty Mitessm Fund.</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GPP is a limited partnership whose primary business purpose is investing in securities. MJG Associates provides services to GPP, and Mario Gabelli is the general partner and a portfolio manager for GPP.</w:t>
      </w:r>
    </w:p>
    <w:p>
      <w:pPr>
        <w:spacing w:after="0" w:line="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 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w:t>
      </w:r>
    </w:p>
    <w:p>
      <w:pPr>
        <w:spacing w:after="0" w:line="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MJG Associates is the Investment Manager of GIL II. Mario Gabelli is a portfolio manager and Chairman of the Board of Directors of GIL II.</w:t>
      </w:r>
    </w:p>
    <w:p>
      <w:pPr>
        <w:spacing w:after="0" w:line="6"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ALCE is an investment limited partnership that seeks long-term capital appreciation primarily through investments in public and private equity securities. GSI is a general partner of ALCE.</w:t>
      </w:r>
    </w:p>
    <w:p>
      <w:pPr>
        <w:spacing w:after="0" w:line="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5"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GGP is a corporation whose primary business purpose is investing in securities on a global basis. Gabelli Securities International Limited and Gemini Capital Management, LLC are the investment advisors of GGP and Marc Gabelli is the portfolio manager for GGP.</w:t>
      </w:r>
    </w:p>
    <w:p>
      <w:pPr>
        <w:spacing w:after="0" w:line="5"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GEP is a corporation whose primary business purpose is investing in securities of European Companies. Gabelli Securities International Limited is the investment advisor of GEP and Marc Gabelli is a portfolio manager for GEP.</w:t>
      </w:r>
    </w:p>
    <w:p>
      <w:pPr>
        <w:spacing w:after="0" w:line="1"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LDC is a corporation whose business purpose is investing primarily in a portfolio of equity securities convertible into, or exchangeable for, equity</w:t>
      </w:r>
    </w:p>
    <w:p>
      <w:pPr>
        <w:sectPr>
          <w:pgSz w:w="11900" w:h="16838" w:orient="portrait"/>
          <w:cols w:equalWidth="0" w:num="1">
            <w:col w:w="10219"/>
          </w:cols>
          <w:pgMar w:left="240" w:top="142" w:right="1440" w:bottom="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securities in order to achieve its investment objective of significant long-term growth of capital. Interests are offered to insurance companies which do not conduct any business in the United States and which are licensed where they do business. MJG Associates is the Investment Manager of LDC. Mario Gabelli is a portfolio manager for LDC.</w:t>
      </w:r>
    </w:p>
    <w:p>
      <w:pPr>
        <w:spacing w:after="0" w:line="6" w:lineRule="exact"/>
        <w:rPr>
          <w:sz w:val="20"/>
          <w:szCs w:val="20"/>
          <w:color w:val="auto"/>
        </w:rPr>
      </w:pPr>
    </w:p>
    <w:p>
      <w:pPr>
        <w:jc w:val="both"/>
        <w:ind w:right="2619" w:firstLine="843"/>
        <w:spacing w:after="0" w:line="236"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w:t>
      </w:r>
    </w:p>
    <w:p>
      <w:pPr>
        <w:spacing w:after="0" w:line="6"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Gemini is a limited liability company whose primary business purpose is to provide advisory services to offshore funds. Marc Gabelli is the President and Chief Investment Officer of Gemini.</w:t>
      </w:r>
    </w:p>
    <w:p>
      <w:pPr>
        <w:spacing w:after="0" w:line="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Foundation is a private foundation. Mario Gabelli is the President, a Trustee and the Investment Manager of the Foundation.</w:t>
      </w:r>
    </w:p>
    <w:p>
      <w:pPr>
        <w:spacing w:after="0" w:line="6" w:lineRule="exact"/>
        <w:rPr>
          <w:sz w:val="20"/>
          <w:szCs w:val="20"/>
          <w:color w:val="auto"/>
        </w:rPr>
      </w:pPr>
    </w:p>
    <w:p>
      <w:pPr>
        <w:jc w:val="both"/>
        <w:ind w:right="1879" w:firstLine="843"/>
        <w:spacing w:after="0" w:line="268" w:lineRule="auto"/>
        <w:rPr>
          <w:sz w:val="20"/>
          <w:szCs w:val="20"/>
          <w:color w:val="auto"/>
        </w:rPr>
      </w:pPr>
      <w:r>
        <w:rPr>
          <w:rFonts w:ascii="Courier New" w:cs="Courier New" w:eastAsia="Courier New" w:hAnsi="Courier New"/>
          <w:sz w:val="16"/>
          <w:szCs w:val="16"/>
          <w:color w:val="auto"/>
        </w:rPr>
        <w:t>Lynch is a public company traded on the American Stock Exchange engaged in manufacturing. Interactive is a public company listed on the American Stock Exchange. It is a holding company whose principal subsidiary is Brighton.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Brighton is a holding company with subsidiaries in multimedia and services businesses. Western New Mexico, a subsidiary of Brighton, provides local telephone services in an area in Southwestern New Mexico. Inter-Community, which is also a subsidiary of Brighton, provides local telephone services in an area 40 miles west of Fargo, North Dakota. Lynch Telephone, a subsidiary of Brighton, is a holding company that owns interests in Western New Mexico and other entities. Lynch and its affiliates actively pursue new business ventures and acquisitions. Lynch and its affiliates make investments in marketable securities to preserve capital and maintain liquidity for financing their business activities and acquisitions and are not engaged in the business of investing, reinvesting, or trading in securities.</w:t>
      </w:r>
    </w:p>
    <w:p>
      <w:pPr>
        <w:spacing w:after="0" w:line="13"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Mario J. Gabelli is a director, officer and a substantial shareholder of Lynch and Interactive.</w:t>
      </w:r>
    </w:p>
    <w:p>
      <w:pPr>
        <w:spacing w:after="0" w:line="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Mario Gabelli is the majority stockholder and Chairman of the Board of Directors and Chief Executive Officer of Gabelli Partners and GAMI, and the Chief Investment Officer for each of the Reporting Persons other than Gemini, GGP, and GEP. Gabelli Partners is the majority shareholder of GAMI. GAMI, in turn, is the sole stockholder of GAMCO. GAMI is also the majority stockholder of GSI and the largest shareholder of Gabelli Advisers. Gabelli &amp; Company is a wholly-owned subsidiary of GSI. Marc Gabelli is the majority stockholder of Gemini.</w:t>
      </w:r>
    </w:p>
    <w:p>
      <w:pPr>
        <w:spacing w:after="0" w:line="10" w:lineRule="exact"/>
        <w:rPr>
          <w:sz w:val="20"/>
          <w:szCs w:val="20"/>
          <w:color w:val="auto"/>
        </w:rPr>
      </w:pPr>
    </w:p>
    <w:p>
      <w:pPr>
        <w:jc w:val="right"/>
        <w:ind w:right="2519"/>
        <w:spacing w:after="0" w:line="268" w:lineRule="auto"/>
        <w:rPr>
          <w:sz w:val="20"/>
          <w:szCs w:val="20"/>
          <w:color w:val="auto"/>
        </w:rPr>
      </w:pPr>
      <w:r>
        <w:rPr>
          <w:rFonts w:ascii="Courier New" w:cs="Courier New" w:eastAsia="Courier New" w:hAnsi="Courier New"/>
          <w:sz w:val="16"/>
          <w:szCs w:val="16"/>
          <w:color w:val="auto"/>
        </w:rPr>
        <w:t>The Reporting Persons do not admit that they constitute a group. Gabelli Partners, GAMI, GAMCO, and Gabelli &amp; Company are New York corporations and GSI and Gabelli Advisers are Delaware corporations, each</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One Corporate Center, Rye, New York 10580. MJG Associates is a Connecticut corporation having its principal business office at 8 Sound Shore Dr., Greenwich, CT 06830. Gabelli Associates is a New York limited partnership having its principal business office at One Corporate Center, Rye, New York 10580. ALCE and Multimedia Partners are Delaware limited partnerships each having its principal business office at One Corporate Center, Rye, New York 10580. GAL and GIL are corporations organized under the laws of the British Virgin Islands having their principal business office at c/o Fortis Fund Services (Cayman) Limited, Grand Pavilion, Commercial Centre, 802 West Bay Road, Grand Cayman, British West Indies. GIL II is a corporation organized under the laws of the British Virgin Islands having their principal business office at c/o Coutts &amp; Company (Cayman) Limited, West Bay Road, Grand Cayman, British West Indies. GGP and GEP are corporations organized under the laws of the British Virgin Islands each having its principal business office at c/o Goldman Sachs (Cayman) Trust, Limited, P.O. Box 896 GT, Harbour Center, 2nd Floor, North Church Street, Grand Cayman, British West Indies. Gemini is a Delaware limited liability company having its principal business office at One Corporate Center, Rye, New York 10580. LDC is a corporation organized under the laws of the British Virgin Islands having its principal business office at c/o Tremont (Bermuda) Limited, Tremont House, 4 Park Road, Hamilton HM II, Bermuda. The Foundation is a Nevada corporation having its principal offices at 165 West Liberty Street, Reno, Nevada 89501. Lynch is an Indiana corporation having its principal business office at 50 Kennedy Plaza, Suite 1250, Providence, Rhode Island 02903. Interactive, Brighton, and Lynch Telephone are Delaware corporations, each having its principal place of business at One Corporate Center, Rye, New York 10580. Western New Mexico is a Delaware corporation, having its principal place of business at 314 W. Yankee Street, Silver City, New Mexico 88062. Inter-Community is a North Dakota corporation, having its principal place of business at 556 Main Street, Nome, North Dakota 58062.</w:t>
      </w:r>
    </w:p>
    <w:p>
      <w:pPr>
        <w:spacing w:after="0" w:line="13"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700"/>
        <w:spacing w:after="0"/>
        <w:tabs>
          <w:tab w:leader="none" w:pos="220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6"/>
          <w:szCs w:val="16"/>
          <w:color w:val="auto"/>
        </w:rPr>
        <w:t>- Reference is made to Schedule I hereto.</w:t>
      </w:r>
    </w:p>
    <w:p>
      <w:pPr>
        <w:sectPr>
          <w:pgSz w:w="11900" w:h="16838" w:orient="portrait"/>
          <w:cols w:equalWidth="0" w:num="1">
            <w:col w:w="10219"/>
          </w:cols>
          <w:pgMar w:left="240" w:top="142" w:right="1440" w:bottom="131" w:gutter="0" w:footer="0" w:header="0"/>
        </w:sectPr>
      </w:pPr>
    </w:p>
    <w:bookmarkStart w:id="12" w:name="page13"/>
    <w:bookmarkEnd w:id="12"/>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Item 3 to Schedule 13D is amended, in pertinent part, as follows:</w:t>
      </w:r>
    </w:p>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Reporting Persons used an aggregate of approximately $162,115</w:t>
      </w:r>
    </w:p>
    <w:p>
      <w:pPr>
        <w:spacing w:after="0" w:line="2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 purchase the additional Securities reported as beneficially owned in Item 5 since the last filing on Schedule 13D. GAMCO used approximately $162,115 of funds that were provided through the accounts of certain of its investment advisory clients (and, in the case of some of such accounts at GAMCO, may be through borrowings from client margin accounts) in order to purchase the additional Securities for such clients.</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to Schedule 13D is amended, in pertinent part, as follows:</w:t>
      </w:r>
    </w:p>
    <w:p>
      <w:pPr>
        <w:spacing w:after="0" w:line="4" w:lineRule="exact"/>
        <w:rPr>
          <w:sz w:val="20"/>
          <w:szCs w:val="20"/>
          <w:color w:val="auto"/>
        </w:rPr>
      </w:pPr>
    </w:p>
    <w:p>
      <w:pPr>
        <w:ind w:right="1999" w:firstLine="1686"/>
        <w:spacing w:after="0" w:line="237" w:lineRule="auto"/>
        <w:rPr>
          <w:sz w:val="20"/>
          <w:szCs w:val="20"/>
          <w:color w:val="auto"/>
        </w:rPr>
      </w:pPr>
      <w:r>
        <w:rPr>
          <w:rFonts w:ascii="Courier New" w:cs="Courier New" w:eastAsia="Courier New" w:hAnsi="Courier New"/>
          <w:sz w:val="18"/>
          <w:szCs w:val="18"/>
          <w:color w:val="auto"/>
        </w:rPr>
        <w:t>GAMCO has notified the Issuer that it intends to nominate Mr. Michael J. Melarkey for election as a director at the Issuer's upcoming annual meeting and that GAMCO will exercise its rights to cumulative voting. GAMCO continues to support the re-election of Mr. Mark M. Feldman, who GAMCO nominated and the shareholders elected as a director at the Issuer's 2000 annual meeting and who was re-elected at the 2001 annual meeting. GAMCO intends to discuss with a limited number of the Issuer's</w:t>
      </w:r>
    </w:p>
    <w:p>
      <w:pPr>
        <w:spacing w:after="0" w:line="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substantial shareholders whether they are willing to attend the Issuer's annual meeting and support the election of Messrs. Feldman and Melarkey or, at a minimum, withhold their votes from all directors nominated by the Issuer's board of directors other than Mr. Feldman.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Item 5 to Schedule 13D is amended, in pertinent part, as follows:</w:t>
      </w:r>
    </w:p>
    <w:p>
      <w:pPr>
        <w:spacing w:after="0" w:line="21" w:lineRule="exact"/>
        <w:rPr>
          <w:sz w:val="20"/>
          <w:szCs w:val="20"/>
          <w:color w:val="auto"/>
        </w:rPr>
      </w:pPr>
    </w:p>
    <w:p>
      <w:pPr>
        <w:ind w:right="219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Securities to which this Schedule 13D relates is 3,250,480 shares, representing 9.93% of the 32,745,142 shares outstanding as reported in the Issuer's most recent Form 10-K for the fiscal year ended December 31, 2001. The Reporting Persons beneficially own those Securities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right="883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Class of Common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GAMCO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2,394,480</w:t>
      </w:r>
    </w:p>
    <w:p>
      <w:pPr>
        <w:spacing w:after="0" w:line="238" w:lineRule="auto"/>
        <w:rPr>
          <w:sz w:val="20"/>
          <w:szCs w:val="20"/>
          <w:color w:val="auto"/>
        </w:rPr>
      </w:pPr>
      <w:r>
        <w:rPr>
          <w:rFonts w:ascii="Courier New" w:cs="Courier New" w:eastAsia="Courier New" w:hAnsi="Courier New"/>
          <w:sz w:val="18"/>
          <w:szCs w:val="18"/>
          <w:color w:val="auto"/>
        </w:rPr>
        <w:t>7.31%</w:t>
      </w:r>
    </w:p>
    <w:p>
      <w:pPr>
        <w:spacing w:after="0"/>
        <w:rPr>
          <w:sz w:val="20"/>
          <w:szCs w:val="20"/>
          <w:color w:val="auto"/>
        </w:rPr>
      </w:pPr>
      <w:r>
        <w:rPr>
          <w:rFonts w:ascii="Courier New" w:cs="Courier New" w:eastAsia="Courier New" w:hAnsi="Courier New"/>
          <w:sz w:val="18"/>
          <w:szCs w:val="18"/>
          <w:color w:val="auto"/>
        </w:rPr>
        <w:t>Gabelli Funds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846,000</w:t>
      </w:r>
    </w:p>
    <w:p>
      <w:pPr>
        <w:spacing w:after="0" w:line="238" w:lineRule="auto"/>
        <w:rPr>
          <w:sz w:val="20"/>
          <w:szCs w:val="20"/>
          <w:color w:val="auto"/>
        </w:rPr>
      </w:pPr>
      <w:r>
        <w:rPr>
          <w:rFonts w:ascii="Courier New" w:cs="Courier New" w:eastAsia="Courier New" w:hAnsi="Courier New"/>
          <w:sz w:val="18"/>
          <w:szCs w:val="18"/>
          <w:color w:val="auto"/>
        </w:rPr>
        <w:t>2.58%</w:t>
      </w:r>
    </w:p>
    <w:p>
      <w:pPr>
        <w:spacing w:after="0"/>
        <w:rPr>
          <w:sz w:val="20"/>
          <w:szCs w:val="20"/>
          <w:color w:val="auto"/>
        </w:rPr>
      </w:pPr>
      <w:r>
        <w:rPr>
          <w:rFonts w:ascii="Courier New" w:cs="Courier New" w:eastAsia="Courier New" w:hAnsi="Courier New"/>
          <w:sz w:val="18"/>
          <w:szCs w:val="18"/>
          <w:color w:val="auto"/>
        </w:rPr>
        <w:t>Foundation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w:t>
      </w:r>
    </w:p>
    <w:p>
      <w:pPr>
        <w:spacing w:after="0" w:line="238" w:lineRule="auto"/>
        <w:rPr>
          <w:sz w:val="20"/>
          <w:szCs w:val="20"/>
          <w:color w:val="auto"/>
        </w:rPr>
      </w:pPr>
      <w:r>
        <w:rPr>
          <w:rFonts w:ascii="Courier New" w:cs="Courier New" w:eastAsia="Courier New" w:hAnsi="Courier New"/>
          <w:sz w:val="18"/>
          <w:szCs w:val="18"/>
          <w:color w:val="auto"/>
        </w:rPr>
        <w:t>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 is deemed to have beneficial ownership of the</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Securities owned beneficially by each of the foregoing persons other than Marc Gabelli and Gemini. Marc Gabelli is deemed to have beneficial ownership of the Securities owned by Gemini. GSI is deemed to have beneficial ownership of the Securities beneficially owned by ALCE, GMP, GAL, Gabelli Associates and Gabelli</w:t>
      </w:r>
    </w:p>
    <w:p>
      <w:pPr>
        <w:spacing w:after="0" w:line="1" w:lineRule="exact"/>
        <w:rPr>
          <w:sz w:val="20"/>
          <w:szCs w:val="20"/>
          <w:color w:val="auto"/>
        </w:rPr>
      </w:pPr>
    </w:p>
    <w:p>
      <w:pPr>
        <w:ind w:right="219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MJG Associates is deemed to have beneficial ownership of the Securities beneficially owned by GPP, GIL, GIL II and LDC. GAMI and Gabelli Partners are deemed to have beneficial ownership of the Securities owned beneficially by each of the foregoing persons other than Mario Gabelli, Marc Gabelli, Gemini and the Foundation.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Each of the Reporting Persons and Covered Persons has the sole</w:t>
      </w:r>
    </w:p>
    <w:p>
      <w:pPr>
        <w:spacing w:after="0" w:line="4"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141,500 of the reported shares, (ii) Gabelli Funds has sole dispositive and voting power with</w:t>
      </w:r>
    </w:p>
    <w:p>
      <w:pPr>
        <w:sectPr>
          <w:pgSz w:w="11900" w:h="16838" w:orient="portrait"/>
          <w:cols w:equalWidth="0" w:num="1">
            <w:col w:w="10219"/>
          </w:cols>
          <w:pgMar w:left="240" w:top="339" w:right="1440" w:bottom="0" w:gutter="0" w:footer="0" w:header="0"/>
        </w:sectPr>
      </w:pPr>
    </w:p>
    <w:bookmarkStart w:id="13" w:name="page14"/>
    <w:bookmarkEnd w:id="13"/>
    <w:p>
      <w:pPr>
        <w:ind w:right="1879"/>
        <w:spacing w:after="0" w:line="268" w:lineRule="auto"/>
        <w:rPr>
          <w:sz w:val="20"/>
          <w:szCs w:val="20"/>
          <w:color w:val="auto"/>
        </w:rPr>
      </w:pPr>
      <w:r>
        <w:rPr>
          <w:rFonts w:ascii="Courier New" w:cs="Courier New" w:eastAsia="Courier New" w:hAnsi="Courier New"/>
          <w:sz w:val="16"/>
          <w:szCs w:val="16"/>
          <w:color w:val="auto"/>
        </w:rPr>
        <w:t>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Marc Gabelli, GAMI, and Gabelli Partners is indirect with respect to Securities beneficially owned directly by other Reporting Persons.</w:t>
      </w:r>
    </w:p>
    <w:p>
      <w:pPr>
        <w:ind w:left="1700"/>
        <w:spacing w:after="0" w:line="235" w:lineRule="auto"/>
        <w:rPr>
          <w:sz w:val="20"/>
          <w:szCs w:val="20"/>
          <w:color w:val="auto"/>
        </w:rPr>
      </w:pPr>
      <w:r>
        <w:rPr>
          <w:rFonts w:ascii="Courier New" w:cs="Courier New" w:eastAsia="Courier New" w:hAnsi="Courier New"/>
          <w:sz w:val="18"/>
          <w:szCs w:val="18"/>
          <w:color w:val="auto"/>
        </w:rPr>
        <w:t>(e) Not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25,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MARC J. GABELLI</w:t>
      </w:r>
    </w:p>
    <w:p>
      <w:pPr>
        <w:spacing w:after="0"/>
        <w:rPr>
          <w:sz w:val="20"/>
          <w:szCs w:val="20"/>
          <w:color w:val="auto"/>
        </w:rPr>
      </w:pPr>
      <w:r>
        <w:rPr>
          <w:rFonts w:ascii="Courier New" w:cs="Courier New" w:eastAsia="Courier New" w:hAnsi="Courier New"/>
          <w:sz w:val="18"/>
          <w:szCs w:val="18"/>
          <w:color w:val="auto"/>
        </w:rPr>
        <w:t>GABELLI FOUNDATION,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540"/>
        <w:spacing w:after="0" w:line="238" w:lineRule="auto"/>
        <w:rPr>
          <w:sz w:val="20"/>
          <w:szCs w:val="20"/>
          <w:color w:val="auto"/>
        </w:rPr>
      </w:pPr>
      <w:r>
        <w:rPr>
          <w:rFonts w:ascii="Courier New" w:cs="Courier New" w:eastAsia="Courier New" w:hAnsi="Courier New"/>
          <w:sz w:val="18"/>
          <w:szCs w:val="18"/>
          <w:color w:val="auto"/>
        </w:rPr>
        <w:t>James E. McKee</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GABELLI FUNDS,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540"/>
        <w:spacing w:after="0" w:line="238" w:lineRule="auto"/>
        <w:rPr>
          <w:sz w:val="20"/>
          <w:szCs w:val="20"/>
          <w:color w:val="auto"/>
        </w:rPr>
      </w:pPr>
      <w:r>
        <w:rPr>
          <w:rFonts w:ascii="Courier New" w:cs="Courier New" w:eastAsia="Courier New" w:hAnsi="Courier New"/>
          <w:sz w:val="18"/>
          <w:szCs w:val="18"/>
          <w:color w:val="auto"/>
        </w:rPr>
        <w:t>James E. McKee</w:t>
      </w:r>
    </w:p>
    <w:p>
      <w:pPr>
        <w:ind w:left="5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Douglas R. Jamieson</w:t>
      </w:r>
    </w:p>
    <w:p>
      <w:pPr>
        <w:ind w:left="540"/>
        <w:spacing w:after="0" w:line="238" w:lineRule="auto"/>
        <w:rPr>
          <w:sz w:val="20"/>
          <w:szCs w:val="20"/>
          <w:color w:val="auto"/>
        </w:rPr>
      </w:pPr>
      <w:r>
        <w:rPr>
          <w:rFonts w:ascii="Courier New" w:cs="Courier New" w:eastAsia="Courier New" w:hAnsi="Courier New"/>
          <w:sz w:val="18"/>
          <w:szCs w:val="18"/>
          <w:color w:val="auto"/>
        </w:rPr>
        <w:t>Douglas R. Jamieson</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Schedule I to Schedule 13D is amended, in pertinent part, as follows:</w:t>
      </w:r>
    </w:p>
    <w:p>
      <w:pPr>
        <w:spacing w:after="0" w:line="208"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ectPr>
          <w:pgSz w:w="11900" w:h="16838" w:orient="portrait"/>
          <w:cols w:equalWidth="0" w:num="1">
            <w:col w:w="10219"/>
          </w:cols>
          <w:pgMar w:left="240" w:top="142" w:right="1440" w:bottom="725"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Gabelli Group Capital Partners,</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Chief Executive Officer and Chief Investment Officer of Gabelli Group Capital Partners, Inc., Gabelli Asset Management Inc., and GAMCO Investors, Inc.; Director/Trustee of all registered investment companies advised by Gabelli Funds, LLC; Chairman and Chief Executive Officer of Lynch Interactive Corporation; Vice Chairman of Lynch Corporation.</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Black</w:t>
      </w:r>
    </w:p>
    <w:p>
      <w:pPr>
        <w:spacing w:after="0" w:line="238" w:lineRule="auto"/>
        <w:rPr>
          <w:sz w:val="20"/>
          <w:szCs w:val="20"/>
          <w:color w:val="auto"/>
        </w:rPr>
      </w:pPr>
      <w:r>
        <w:rPr>
          <w:rFonts w:ascii="Courier New" w:cs="Courier New" w:eastAsia="Courier New" w:hAnsi="Courier New"/>
          <w:sz w:val="18"/>
          <w:szCs w:val="18"/>
          <w:color w:val="auto"/>
        </w:rPr>
        <w:t>Vice Chairman of the Board of Directors of Oak</w:t>
      </w:r>
    </w:p>
    <w:p>
      <w:pPr>
        <w:spacing w:after="0"/>
        <w:rPr>
          <w:sz w:val="20"/>
          <w:szCs w:val="20"/>
          <w:color w:val="auto"/>
        </w:rPr>
      </w:pPr>
      <w:r>
        <w:rPr>
          <w:rFonts w:ascii="Courier New" w:cs="Courier New" w:eastAsia="Courier New" w:hAnsi="Courier New"/>
          <w:sz w:val="18"/>
          <w:szCs w:val="18"/>
          <w:color w:val="auto"/>
        </w:rPr>
        <w:t>Technology, Inc.; Chairman of ECRM; Director of</w:t>
      </w:r>
    </w:p>
    <w:p>
      <w:pPr>
        <w:spacing w:after="0" w:line="237" w:lineRule="auto"/>
        <w:rPr>
          <w:sz w:val="20"/>
          <w:szCs w:val="20"/>
          <w:color w:val="auto"/>
        </w:rPr>
      </w:pPr>
      <w:r>
        <w:rPr>
          <w:rFonts w:ascii="Courier New" w:cs="Courier New" w:eastAsia="Courier New" w:hAnsi="Courier New"/>
          <w:sz w:val="18"/>
          <w:szCs w:val="18"/>
          <w:color w:val="auto"/>
        </w:rPr>
        <w:t>The Morgan Group, Inc.; General Partner of KBA</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rPr>
          <w:sz w:val="20"/>
          <w:szCs w:val="20"/>
          <w:color w:val="auto"/>
        </w:rPr>
      </w:pPr>
      <w:r>
        <w:rPr>
          <w:rFonts w:ascii="Courier New" w:cs="Courier New" w:eastAsia="Courier New" w:hAnsi="Courier New"/>
          <w:sz w:val="18"/>
          <w:szCs w:val="18"/>
          <w:color w:val="auto"/>
        </w:rPr>
        <w:t>Parker Plaza</w:t>
      </w:r>
    </w:p>
    <w:p>
      <w:pPr>
        <w:spacing w:after="0" w:line="237" w:lineRule="auto"/>
        <w:rPr>
          <w:sz w:val="20"/>
          <w:szCs w:val="20"/>
          <w:color w:val="auto"/>
        </w:rPr>
      </w:pPr>
      <w:r>
        <w:rPr>
          <w:rFonts w:ascii="Courier New" w:cs="Courier New" w:eastAsia="Courier New" w:hAnsi="Courier New"/>
          <w:sz w:val="18"/>
          <w:szCs w:val="18"/>
          <w:color w:val="auto"/>
        </w:rPr>
        <w:t>400 Kelby Street</w:t>
      </w:r>
    </w:p>
    <w:p>
      <w:pPr>
        <w:spacing w:after="0"/>
        <w:tabs>
          <w:tab w:leader="none" w:pos="1560" w:val="left"/>
        </w:tabs>
        <w:rPr>
          <w:sz w:val="20"/>
          <w:szCs w:val="20"/>
          <w:color w:val="auto"/>
        </w:rPr>
      </w:pPr>
      <w:r>
        <w:rPr>
          <w:rFonts w:ascii="Courier New" w:cs="Courier New" w:eastAsia="Courier New" w:hAnsi="Courier New"/>
          <w:sz w:val="18"/>
          <w:szCs w:val="18"/>
          <w:color w:val="auto"/>
        </w:rPr>
        <w:t>Fort Lee, NJ</w:t>
        <w:tab/>
        <w:t>07029</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C. Baum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Director and Chief Executive Officer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Morgan Group, Inc.; Secretary &amp; Treasurer</w:t>
      </w:r>
    </w:p>
    <w:p>
      <w:pPr>
        <w:spacing w:after="0" w:line="238" w:lineRule="auto"/>
        <w:rPr>
          <w:sz w:val="20"/>
          <w:szCs w:val="20"/>
          <w:color w:val="auto"/>
        </w:rPr>
      </w:pPr>
      <w:r>
        <w:rPr>
          <w:rFonts w:ascii="Courier New" w:cs="Courier New" w:eastAsia="Courier New" w:hAnsi="Courier New"/>
          <w:sz w:val="18"/>
          <w:szCs w:val="18"/>
          <w:color w:val="auto"/>
        </w:rPr>
        <w:t>United Holdings Co., Inc.</w:t>
      </w:r>
    </w:p>
    <w:p>
      <w:pPr>
        <w:spacing w:after="0"/>
        <w:rPr>
          <w:sz w:val="20"/>
          <w:szCs w:val="20"/>
          <w:color w:val="auto"/>
        </w:rPr>
      </w:pPr>
      <w:r>
        <w:rPr>
          <w:rFonts w:ascii="Courier New" w:cs="Courier New" w:eastAsia="Courier New" w:hAnsi="Courier New"/>
          <w:sz w:val="18"/>
          <w:szCs w:val="18"/>
          <w:color w:val="auto"/>
        </w:rPr>
        <w:t>2545 Wilkens Avenue</w:t>
      </w:r>
    </w:p>
    <w:p>
      <w:pPr>
        <w:spacing w:after="0"/>
        <w:tabs>
          <w:tab w:leader="none" w:pos="168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Eamon M. Kelly</w:t>
      </w:r>
    </w:p>
    <w:p>
      <w:pPr>
        <w:spacing w:after="0" w:line="238" w:lineRule="auto"/>
        <w:rPr>
          <w:sz w:val="20"/>
          <w:szCs w:val="20"/>
          <w:color w:val="auto"/>
        </w:rPr>
      </w:pPr>
      <w:r>
        <w:rPr>
          <w:rFonts w:ascii="Courier New" w:cs="Courier New" w:eastAsia="Courier New" w:hAnsi="Courier New"/>
          <w:sz w:val="18"/>
          <w:szCs w:val="18"/>
          <w:color w:val="auto"/>
        </w:rPr>
        <w:t>Professor</w:t>
      </w:r>
    </w:p>
    <w:p>
      <w:pPr>
        <w:spacing w:after="0"/>
        <w:rPr>
          <w:sz w:val="20"/>
          <w:szCs w:val="20"/>
          <w:color w:val="auto"/>
        </w:rPr>
      </w:pPr>
      <w:r>
        <w:rPr>
          <w:rFonts w:ascii="Courier New" w:cs="Courier New" w:eastAsia="Courier New" w:hAnsi="Courier New"/>
          <w:sz w:val="18"/>
          <w:szCs w:val="18"/>
          <w:color w:val="auto"/>
        </w:rPr>
        <w:t>Payson Center for International</w:t>
      </w:r>
    </w:p>
    <w:p>
      <w:pPr>
        <w:spacing w:after="0" w:line="237" w:lineRule="auto"/>
        <w:rPr>
          <w:sz w:val="20"/>
          <w:szCs w:val="20"/>
          <w:color w:val="auto"/>
        </w:rPr>
      </w:pPr>
      <w:r>
        <w:rPr>
          <w:rFonts w:ascii="Courier New" w:cs="Courier New" w:eastAsia="Courier New" w:hAnsi="Courier New"/>
          <w:sz w:val="18"/>
          <w:szCs w:val="18"/>
          <w:color w:val="auto"/>
        </w:rPr>
        <w:t>Development Technology Transfer</w:t>
      </w:r>
    </w:p>
    <w:p>
      <w:pPr>
        <w:spacing w:after="0" w:line="238" w:lineRule="auto"/>
        <w:rPr>
          <w:sz w:val="20"/>
          <w:szCs w:val="20"/>
          <w:color w:val="auto"/>
        </w:rPr>
      </w:pPr>
      <w:r>
        <w:rPr>
          <w:rFonts w:ascii="Courier New" w:cs="Courier New" w:eastAsia="Courier New" w:hAnsi="Courier New"/>
          <w:sz w:val="18"/>
          <w:szCs w:val="18"/>
          <w:color w:val="auto"/>
        </w:rPr>
        <w:t>Tulane University</w:t>
      </w:r>
    </w:p>
    <w:p>
      <w:pPr>
        <w:spacing w:after="0"/>
        <w:rPr>
          <w:sz w:val="20"/>
          <w:szCs w:val="20"/>
          <w:color w:val="auto"/>
        </w:rPr>
      </w:pPr>
      <w:r>
        <w:rPr>
          <w:rFonts w:ascii="Courier New" w:cs="Courier New" w:eastAsia="Courier New" w:hAnsi="Courier New"/>
          <w:sz w:val="18"/>
          <w:szCs w:val="18"/>
          <w:color w:val="auto"/>
        </w:rPr>
        <w:t>300 Gibson Hall</w:t>
      </w:r>
    </w:p>
    <w:p>
      <w:pPr>
        <w:spacing w:after="0" w:line="237" w:lineRule="auto"/>
        <w:rPr>
          <w:sz w:val="20"/>
          <w:szCs w:val="20"/>
          <w:color w:val="auto"/>
        </w:rPr>
      </w:pPr>
      <w:r>
        <w:rPr>
          <w:rFonts w:ascii="Courier New" w:cs="Courier New" w:eastAsia="Courier New" w:hAnsi="Courier New"/>
          <w:sz w:val="18"/>
          <w:szCs w:val="18"/>
          <w:color w:val="auto"/>
        </w:rPr>
        <w:t>6823 St. Charles Avenue</w:t>
      </w:r>
    </w:p>
    <w:p>
      <w:pPr>
        <w:spacing w:after="0"/>
        <w:tabs>
          <w:tab w:leader="none" w:pos="1880" w:val="left"/>
        </w:tabs>
        <w:rPr>
          <w:sz w:val="20"/>
          <w:szCs w:val="20"/>
          <w:color w:val="auto"/>
        </w:rPr>
      </w:pPr>
      <w:r>
        <w:rPr>
          <w:rFonts w:ascii="Courier New" w:cs="Courier New" w:eastAsia="Courier New" w:hAnsi="Courier New"/>
          <w:sz w:val="18"/>
          <w:szCs w:val="18"/>
          <w:color w:val="auto"/>
        </w:rPr>
        <w:t>New Orleans, LA</w:t>
      </w:r>
      <w:r>
        <w:rPr>
          <w:sz w:val="20"/>
          <w:szCs w:val="20"/>
          <w:color w:val="auto"/>
        </w:rPr>
        <w:tab/>
      </w:r>
      <w:r>
        <w:rPr>
          <w:rFonts w:ascii="Courier New" w:cs="Courier New" w:eastAsia="Courier New" w:hAnsi="Courier New"/>
          <w:sz w:val="18"/>
          <w:szCs w:val="18"/>
          <w:color w:val="auto"/>
        </w:rPr>
        <w:t>70118</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Arnold M. Reichman</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Managing Director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Matthew R.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Trading</w:t>
      </w:r>
    </w:p>
    <w:p>
      <w:pPr>
        <w:spacing w:after="0" w:line="238" w:lineRule="auto"/>
        <w:rPr>
          <w:sz w:val="20"/>
          <w:szCs w:val="20"/>
          <w:color w:val="auto"/>
        </w:rPr>
      </w:pPr>
      <w:r>
        <w:rPr>
          <w:rFonts w:ascii="Courier New" w:cs="Courier New" w:eastAsia="Courier New" w:hAnsi="Courier New"/>
          <w:sz w:val="18"/>
          <w:szCs w:val="18"/>
          <w:color w:val="auto"/>
        </w:rPr>
        <w:t>Gabelli &amp; Company,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Chief Executive Officer and Chief</w:t>
      </w:r>
    </w:p>
    <w:p>
      <w:pPr>
        <w:spacing w:after="0"/>
        <w:rPr>
          <w:sz w:val="20"/>
          <w:szCs w:val="20"/>
          <w:color w:val="auto"/>
        </w:rPr>
      </w:pPr>
      <w:r>
        <w:rPr>
          <w:rFonts w:ascii="Courier New" w:cs="Courier New" w:eastAsia="Courier New" w:hAnsi="Courier New"/>
          <w:sz w:val="18"/>
          <w:szCs w:val="18"/>
          <w:color w:val="auto"/>
        </w:rPr>
        <w:t>Investment Officer</w:t>
      </w:r>
    </w:p>
    <w:p>
      <w:pPr>
        <w:ind w:left="1580"/>
        <w:spacing w:after="0" w:line="237" w:lineRule="auto"/>
        <w:rPr>
          <w:sz w:val="20"/>
          <w:szCs w:val="20"/>
          <w:color w:val="auto"/>
        </w:rPr>
      </w:pPr>
      <w:r>
        <w:rPr>
          <w:rFonts w:ascii="Courier New" w:cs="Courier New" w:eastAsia="Courier New" w:hAnsi="Courier New"/>
          <w:sz w:val="18"/>
          <w:szCs w:val="18"/>
          <w:color w:val="auto"/>
        </w:rPr>
        <w:t>Vincent J.</w:t>
      </w:r>
    </w:p>
    <w:p>
      <w:pPr>
        <w:spacing w:after="0" w:line="238" w:lineRule="auto"/>
        <w:rPr>
          <w:sz w:val="20"/>
          <w:szCs w:val="20"/>
          <w:color w:val="auto"/>
        </w:rPr>
      </w:pPr>
      <w:r>
        <w:rPr>
          <w:rFonts w:ascii="Courier New" w:cs="Courier New" w:eastAsia="Courier New" w:hAnsi="Courier New"/>
          <w:sz w:val="18"/>
          <w:szCs w:val="18"/>
          <w:color w:val="auto"/>
        </w:rPr>
        <w:t>Capurso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 and Chief Financial</w:t>
      </w:r>
    </w:p>
    <w:p>
      <w:pPr>
        <w:spacing w:after="0" w:line="238" w:lineRule="auto"/>
        <w:rPr>
          <w:sz w:val="20"/>
          <w:szCs w:val="20"/>
          <w:color w:val="auto"/>
        </w:rPr>
      </w:pPr>
      <w:r>
        <w:rPr>
          <w:rFonts w:ascii="Courier New" w:cs="Courier New" w:eastAsia="Courier New" w:hAnsi="Courier New"/>
          <w:sz w:val="18"/>
          <w:szCs w:val="18"/>
          <w:color w:val="auto"/>
        </w:rPr>
        <w:t>Officer</w:t>
      </w: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General Counsel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541" w:right="1440" w:bottom="0" w:gutter="0" w:footer="0" w:header="0"/>
        </w:sectPr>
      </w:pPr>
    </w:p>
    <w:bookmarkStart w:id="15" w:name="page16"/>
    <w:bookmarkEnd w:id="15"/>
    <w:p>
      <w:pPr>
        <w:ind w:left="860"/>
        <w:spacing w:after="0"/>
        <w:rPr>
          <w:sz w:val="20"/>
          <w:szCs w:val="20"/>
          <w:color w:val="auto"/>
        </w:rPr>
      </w:pPr>
      <w:r>
        <w:rPr>
          <w:rFonts w:ascii="Courier New" w:cs="Courier New" w:eastAsia="Courier New" w:hAnsi="Courier New"/>
          <w:sz w:val="18"/>
          <w:szCs w:val="18"/>
          <w:color w:val="auto"/>
        </w:rPr>
        <w:t>Raymond C. Avansino,</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37" w:lineRule="auto"/>
        <w:rPr>
          <w:sz w:val="20"/>
          <w:szCs w:val="20"/>
          <w:color w:val="auto"/>
        </w:rPr>
      </w:pPr>
      <w:r>
        <w:rPr>
          <w:rFonts w:ascii="Courier New" w:cs="Courier New" w:eastAsia="Courier New" w:hAnsi="Courier New"/>
          <w:sz w:val="18"/>
          <w:szCs w:val="18"/>
          <w:color w:val="auto"/>
        </w:rPr>
        <w:t>E.L. Wiegand Foundation</w:t>
      </w:r>
    </w:p>
    <w:p>
      <w:pPr>
        <w:spacing w:after="0" w:line="238" w:lineRule="auto"/>
        <w:rPr>
          <w:sz w:val="20"/>
          <w:szCs w:val="20"/>
          <w:color w:val="auto"/>
        </w:rPr>
      </w:pPr>
      <w:r>
        <w:rPr>
          <w:rFonts w:ascii="Courier New" w:cs="Courier New" w:eastAsia="Courier New" w:hAnsi="Courier New"/>
          <w:sz w:val="18"/>
          <w:szCs w:val="18"/>
          <w:color w:val="auto"/>
        </w:rPr>
        <w:t>165 West Liberty Street</w:t>
      </w:r>
    </w:p>
    <w:p>
      <w:pPr>
        <w:spacing w:after="0"/>
        <w:rPr>
          <w:sz w:val="20"/>
          <w:szCs w:val="20"/>
          <w:color w:val="auto"/>
        </w:rPr>
      </w:pPr>
      <w:r>
        <w:rPr>
          <w:rFonts w:ascii="Courier New" w:cs="Courier New" w:eastAsia="Courier New" w:hAnsi="Courier New"/>
          <w:sz w:val="18"/>
          <w:szCs w:val="18"/>
          <w:color w:val="auto"/>
        </w:rPr>
        <w:t>Reno, NV 89501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ind w:left="860"/>
        <w:spacing w:after="0" w:line="238" w:lineRule="auto"/>
        <w:rPr>
          <w:sz w:val="20"/>
          <w:szCs w:val="20"/>
          <w:color w:val="auto"/>
        </w:rPr>
      </w:pPr>
      <w:r>
        <w:rPr>
          <w:rFonts w:ascii="Courier New" w:cs="Courier New" w:eastAsia="Courier New" w:hAnsi="Courier New"/>
          <w:sz w:val="18"/>
          <w:szCs w:val="18"/>
          <w:color w:val="auto"/>
        </w:rPr>
        <w:t>Paul B. Guenther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38" w:lineRule="auto"/>
        <w:rPr>
          <w:sz w:val="20"/>
          <w:szCs w:val="20"/>
          <w:color w:val="auto"/>
        </w:rPr>
      </w:pPr>
      <w:r>
        <w:rPr>
          <w:rFonts w:ascii="Courier New" w:cs="Courier New" w:eastAsia="Courier New" w:hAnsi="Courier New"/>
          <w:sz w:val="18"/>
          <w:szCs w:val="18"/>
          <w:color w:val="auto"/>
        </w:rPr>
        <w:t>New York Philharmonic</w:t>
      </w:r>
    </w:p>
    <w:p>
      <w:pPr>
        <w:spacing w:after="0"/>
        <w:rPr>
          <w:sz w:val="20"/>
          <w:szCs w:val="20"/>
          <w:color w:val="auto"/>
        </w:rPr>
      </w:pPr>
      <w:r>
        <w:rPr>
          <w:rFonts w:ascii="Courier New" w:cs="Courier New" w:eastAsia="Courier New" w:hAnsi="Courier New"/>
          <w:sz w:val="18"/>
          <w:szCs w:val="18"/>
          <w:color w:val="auto"/>
        </w:rPr>
        <w:t>10 Lincoln Center Plaza</w:t>
      </w:r>
    </w:p>
    <w:p>
      <w:pPr>
        <w:spacing w:after="0" w:line="237" w:lineRule="auto"/>
        <w:rPr>
          <w:sz w:val="20"/>
          <w:szCs w:val="20"/>
          <w:color w:val="auto"/>
        </w:rPr>
      </w:pPr>
      <w:r>
        <w:rPr>
          <w:rFonts w:ascii="Courier New" w:cs="Courier New" w:eastAsia="Courier New" w:hAnsi="Courier New"/>
          <w:sz w:val="18"/>
          <w:szCs w:val="18"/>
          <w:color w:val="auto"/>
        </w:rPr>
        <w:t>New York, NY 10023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SPACE.com</w:t>
      </w:r>
    </w:p>
    <w:p>
      <w:pPr>
        <w:spacing w:after="0" w:line="237" w:lineRule="auto"/>
        <w:rPr>
          <w:sz w:val="20"/>
          <w:szCs w:val="20"/>
          <w:color w:val="auto"/>
        </w:rPr>
      </w:pPr>
      <w:r>
        <w:rPr>
          <w:rFonts w:ascii="Courier New" w:cs="Courier New" w:eastAsia="Courier New" w:hAnsi="Courier New"/>
          <w:sz w:val="18"/>
          <w:szCs w:val="18"/>
          <w:color w:val="auto"/>
        </w:rPr>
        <w:t>120 West 45th Street</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Eamon M. Kelly</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 (1)</w:t>
      </w:r>
    </w:p>
    <w:p>
      <w:pPr>
        <w:spacing w:after="0" w:line="238" w:lineRule="auto"/>
        <w:rPr>
          <w:sz w:val="20"/>
          <w:szCs w:val="20"/>
          <w:color w:val="auto"/>
        </w:rPr>
      </w:pPr>
      <w:r>
        <w:rPr>
          <w:rFonts w:ascii="Courier New" w:cs="Courier New" w:eastAsia="Courier New" w:hAnsi="Courier New"/>
          <w:sz w:val="18"/>
          <w:szCs w:val="18"/>
          <w:color w:val="auto"/>
        </w:rPr>
        <w:t>Sal. Oppenheim jr. &amp; Cie.</w:t>
      </w:r>
    </w:p>
    <w:p>
      <w:pPr>
        <w:spacing w:after="0"/>
        <w:rPr>
          <w:sz w:val="20"/>
          <w:szCs w:val="20"/>
          <w:color w:val="auto"/>
        </w:rPr>
      </w:pPr>
      <w:r>
        <w:rPr>
          <w:rFonts w:ascii="Courier New" w:cs="Courier New" w:eastAsia="Courier New" w:hAnsi="Courier New"/>
          <w:sz w:val="18"/>
          <w:szCs w:val="18"/>
          <w:color w:val="auto"/>
        </w:rPr>
        <w:t>Bockenheimer Landstrasse 20</w:t>
      </w:r>
    </w:p>
    <w:p>
      <w:pPr>
        <w:spacing w:after="0" w:line="237" w:lineRule="auto"/>
        <w:rPr>
          <w:sz w:val="20"/>
          <w:szCs w:val="20"/>
          <w:color w:val="auto"/>
        </w:rPr>
      </w:pPr>
      <w:r>
        <w:rPr>
          <w:rFonts w:ascii="Courier New" w:cs="Courier New" w:eastAsia="Courier New" w:hAnsi="Courier New"/>
          <w:sz w:val="18"/>
          <w:szCs w:val="18"/>
          <w:color w:val="auto"/>
        </w:rPr>
        <w:t>D-6000 FRANKFURT AM MAIN</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238" w:lineRule="auto"/>
        <w:rPr>
          <w:sz w:val="20"/>
          <w:szCs w:val="20"/>
          <w:color w:val="auto"/>
        </w:rPr>
      </w:pPr>
      <w:r>
        <w:rPr>
          <w:rFonts w:ascii="Courier New" w:cs="Courier New" w:eastAsia="Courier New" w:hAnsi="Courier New"/>
          <w:sz w:val="18"/>
          <w:szCs w:val="18"/>
          <w:color w:val="auto"/>
        </w:rPr>
        <w:t>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ind w:left="860"/>
        <w:spacing w:after="0" w:line="238" w:lineRule="auto"/>
        <w:rPr>
          <w:sz w:val="20"/>
          <w:szCs w:val="20"/>
          <w:color w:val="auto"/>
        </w:rPr>
      </w:pPr>
      <w:r>
        <w:rPr>
          <w:rFonts w:ascii="Courier New" w:cs="Courier New" w:eastAsia="Courier New" w:hAnsi="Courier New"/>
          <w:sz w:val="18"/>
          <w:szCs w:val="18"/>
          <w:color w:val="auto"/>
        </w:rPr>
        <w:t>Joseph R. Rindler,</w:t>
      </w:r>
    </w:p>
    <w:p>
      <w:pPr>
        <w:spacing w:after="0"/>
        <w:rPr>
          <w:sz w:val="20"/>
          <w:szCs w:val="20"/>
          <w:color w:val="auto"/>
        </w:rPr>
      </w:pPr>
      <w:r>
        <w:rPr>
          <w:rFonts w:ascii="Courier New" w:cs="Courier New" w:eastAsia="Courier New" w:hAnsi="Courier New"/>
          <w:sz w:val="18"/>
          <w:szCs w:val="18"/>
          <w:color w:val="auto"/>
        </w:rPr>
        <w:t>Jr.</w:t>
      </w:r>
    </w:p>
    <w:p>
      <w:pPr>
        <w:ind w:left="860"/>
        <w:spacing w:after="0" w:line="237" w:lineRule="auto"/>
        <w:rPr>
          <w:sz w:val="20"/>
          <w:szCs w:val="20"/>
          <w:color w:val="auto"/>
        </w:rPr>
      </w:pPr>
      <w:r>
        <w:rPr>
          <w:rFonts w:ascii="Courier New" w:cs="Courier New" w:eastAsia="Courier New" w:hAnsi="Courier New"/>
          <w:sz w:val="18"/>
          <w:szCs w:val="18"/>
          <w:color w:val="auto"/>
        </w:rPr>
        <w:t>Regina M. Pitaro</w:t>
      </w:r>
    </w:p>
    <w:p>
      <w:pPr>
        <w:ind w:left="860"/>
        <w:spacing w:after="0" w:line="238" w:lineRule="auto"/>
        <w:rPr>
          <w:sz w:val="20"/>
          <w:szCs w:val="20"/>
          <w:color w:val="auto"/>
        </w:rPr>
      </w:pPr>
      <w:r>
        <w:rPr>
          <w:rFonts w:ascii="Courier New" w:cs="Courier New" w:eastAsia="Courier New" w:hAnsi="Courier New"/>
          <w:sz w:val="18"/>
          <w:szCs w:val="18"/>
          <w:color w:val="auto"/>
        </w:rPr>
        <w:t>F. William Scholz, II</w:t>
      </w:r>
    </w:p>
    <w:p>
      <w:pPr>
        <w:ind w:left="860"/>
        <w:spacing w:after="0"/>
        <w:rPr>
          <w:sz w:val="20"/>
          <w:szCs w:val="20"/>
          <w:color w:val="auto"/>
        </w:rPr>
      </w:pPr>
      <w:r>
        <w:rPr>
          <w:rFonts w:ascii="Courier New" w:cs="Courier New" w:eastAsia="Courier New" w:hAnsi="Courier New"/>
          <w:sz w:val="18"/>
          <w:szCs w:val="18"/>
          <w:color w:val="auto"/>
        </w:rPr>
        <w:t>William S. Selby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Chief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ectPr>
          <w:pgSz w:w="11900" w:h="16838" w:orient="portrait"/>
          <w:cols w:equalWidth="0" w:num="1">
            <w:col w:w="10219"/>
          </w:cols>
          <w:pgMar w:left="240" w:top="136"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Investment Officer</w:t>
      </w:r>
    </w:p>
    <w:p>
      <w:pPr>
        <w:ind w:left="860"/>
        <w:spacing w:after="0" w:line="238" w:lineRule="auto"/>
        <w:rPr>
          <w:sz w:val="20"/>
          <w:szCs w:val="20"/>
          <w:color w:val="auto"/>
        </w:rPr>
      </w:pPr>
      <w:r>
        <w:rPr>
          <w:rFonts w:ascii="Courier New" w:cs="Courier New" w:eastAsia="Courier New" w:hAnsi="Courier New"/>
          <w:sz w:val="18"/>
          <w:szCs w:val="18"/>
          <w:color w:val="auto"/>
        </w:rPr>
        <w:t>Bruce N. Alpert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Gus Coutsouros</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Advisers,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ind w:left="860"/>
        <w:spacing w:after="0" w:line="238" w:lineRule="auto"/>
        <w:rPr>
          <w:sz w:val="20"/>
          <w:szCs w:val="20"/>
          <w:color w:val="auto"/>
        </w:rPr>
      </w:pPr>
      <w:r>
        <w:rPr>
          <w:rFonts w:ascii="Courier New" w:cs="Courier New" w:eastAsia="Courier New" w:hAnsi="Courier New"/>
          <w:sz w:val="18"/>
          <w:szCs w:val="18"/>
          <w:color w:val="auto"/>
        </w:rPr>
        <w:t>John D. Gabelli</w:t>
      </w: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7" w:lineRule="auto"/>
        <w:rPr>
          <w:sz w:val="20"/>
          <w:szCs w:val="20"/>
          <w:color w:val="auto"/>
        </w:rPr>
      </w:pPr>
      <w:r>
        <w:rPr>
          <w:rFonts w:ascii="Courier New" w:cs="Courier New" w:eastAsia="Courier New" w:hAnsi="Courier New"/>
          <w:sz w:val="18"/>
          <w:szCs w:val="18"/>
          <w:color w:val="auto"/>
        </w:rPr>
        <w:t>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Gus</w:t>
      </w:r>
    </w:p>
    <w:p>
      <w:pPr>
        <w:spacing w:after="0" w:line="238" w:lineRule="auto"/>
        <w:rPr>
          <w:sz w:val="20"/>
          <w:szCs w:val="20"/>
          <w:color w:val="auto"/>
        </w:rPr>
      </w:pPr>
      <w:r>
        <w:rPr>
          <w:rFonts w:ascii="Courier New" w:cs="Courier New" w:eastAsia="Courier New" w:hAnsi="Courier New"/>
          <w:sz w:val="18"/>
          <w:szCs w:val="18"/>
          <w:color w:val="auto"/>
        </w:rPr>
        <w:t>Coutsouros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ind w:left="860"/>
        <w:spacing w:after="0" w:line="238" w:lineRule="auto"/>
        <w:rPr>
          <w:sz w:val="20"/>
          <w:szCs w:val="20"/>
          <w:color w:val="auto"/>
        </w:rPr>
      </w:pPr>
      <w:r>
        <w:rPr>
          <w:rFonts w:ascii="Courier New" w:cs="Courier New" w:eastAsia="Courier New" w:hAnsi="Courier New"/>
          <w:sz w:val="18"/>
          <w:szCs w:val="18"/>
          <w:color w:val="auto"/>
        </w:rPr>
        <w:t>James E. McKee</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W. Blake</w:t>
      </w:r>
    </w:p>
    <w:p>
      <w:pPr>
        <w:spacing w:after="0" w:line="238" w:lineRule="auto"/>
        <w:rPr>
          <w:sz w:val="20"/>
          <w:szCs w:val="20"/>
          <w:color w:val="auto"/>
        </w:rPr>
      </w:pPr>
      <w:r>
        <w:rPr>
          <w:rFonts w:ascii="Courier New" w:cs="Courier New" w:eastAsia="Courier New" w:hAnsi="Courier New"/>
          <w:sz w:val="18"/>
          <w:szCs w:val="18"/>
          <w:color w:val="auto"/>
        </w:rPr>
        <w:t>President of W. R. Blake &amp; Sons, Inc.</w:t>
      </w:r>
    </w:p>
    <w:p>
      <w:pPr>
        <w:spacing w:after="0"/>
        <w:rPr>
          <w:sz w:val="20"/>
          <w:szCs w:val="20"/>
          <w:color w:val="auto"/>
        </w:rPr>
      </w:pPr>
      <w:r>
        <w:rPr>
          <w:rFonts w:ascii="Courier New" w:cs="Courier New" w:eastAsia="Courier New" w:hAnsi="Courier New"/>
          <w:sz w:val="18"/>
          <w:szCs w:val="18"/>
          <w:color w:val="auto"/>
        </w:rPr>
        <w:t>196-20 Northern Boulevard</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Flushing, NY</w:t>
        <w:tab/>
        <w:t>11358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G. DeVivo</w:t>
      </w:r>
    </w:p>
    <w:p>
      <w:pPr>
        <w:spacing w:after="0" w:line="238" w:lineRule="auto"/>
        <w:rPr>
          <w:sz w:val="20"/>
          <w:szCs w:val="20"/>
          <w:color w:val="auto"/>
        </w:rPr>
      </w:pPr>
      <w:r>
        <w:rPr>
          <w:rFonts w:ascii="Courier New" w:cs="Courier New" w:eastAsia="Courier New" w:hAnsi="Courier New"/>
          <w:sz w:val="18"/>
          <w:szCs w:val="18"/>
          <w:color w:val="auto"/>
        </w:rPr>
        <w:t>General Partner of ALCE Partners, L.P.</w:t>
      </w:r>
    </w:p>
    <w:p>
      <w:pPr>
        <w:spacing w:after="0"/>
        <w:rPr>
          <w:sz w:val="20"/>
          <w:szCs w:val="20"/>
          <w:color w:val="auto"/>
        </w:rPr>
      </w:pPr>
      <w:r>
        <w:rPr>
          <w:rFonts w:ascii="Courier New" w:cs="Courier New" w:eastAsia="Courier New" w:hAnsi="Courier New"/>
          <w:sz w:val="18"/>
          <w:szCs w:val="18"/>
          <w:color w:val="auto"/>
        </w:rPr>
        <w:t>One First Street, Suite 16</w:t>
      </w:r>
    </w:p>
    <w:p>
      <w:pPr>
        <w:spacing w:after="0"/>
        <w:tabs>
          <w:tab w:leader="none" w:pos="1680" w:val="left"/>
        </w:tabs>
        <w:rPr>
          <w:sz w:val="20"/>
          <w:szCs w:val="20"/>
          <w:color w:val="auto"/>
        </w:rPr>
      </w:pPr>
      <w:r>
        <w:rPr>
          <w:rFonts w:ascii="Courier New" w:cs="Courier New" w:eastAsia="Courier New" w:hAnsi="Courier New"/>
          <w:sz w:val="18"/>
          <w:szCs w:val="18"/>
          <w:color w:val="auto"/>
        </w:rPr>
        <w:t>Los Altos, CA</w:t>
      </w:r>
      <w:r>
        <w:rPr>
          <w:sz w:val="20"/>
          <w:szCs w:val="20"/>
          <w:color w:val="auto"/>
        </w:rPr>
        <w:tab/>
      </w:r>
      <w:r>
        <w:rPr>
          <w:rFonts w:ascii="Courier New" w:cs="Courier New" w:eastAsia="Courier New" w:hAnsi="Courier New"/>
          <w:sz w:val="16"/>
          <w:szCs w:val="16"/>
          <w:color w:val="auto"/>
        </w:rPr>
        <w:t>94022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Irene Smolicz</w:t>
      </w:r>
    </w:p>
    <w:p>
      <w:pPr>
        <w:spacing w:after="0" w:line="238" w:lineRule="auto"/>
        <w:rPr>
          <w:sz w:val="20"/>
          <w:szCs w:val="20"/>
          <w:color w:val="auto"/>
        </w:rPr>
      </w:pPr>
      <w:r>
        <w:rPr>
          <w:rFonts w:ascii="Courier New" w:cs="Courier New" w:eastAsia="Courier New" w:hAnsi="Courier New"/>
          <w:sz w:val="18"/>
          <w:szCs w:val="18"/>
          <w:color w:val="auto"/>
        </w:rPr>
        <w:t>Senior Trader</w:t>
      </w:r>
    </w:p>
    <w:p>
      <w:pPr>
        <w:spacing w:after="0"/>
        <w:rPr>
          <w:sz w:val="20"/>
          <w:szCs w:val="20"/>
          <w:color w:val="auto"/>
        </w:rPr>
      </w:pPr>
      <w:r>
        <w:rPr>
          <w:rFonts w:ascii="Courier New" w:cs="Courier New" w:eastAsia="Courier New" w:hAnsi="Courier New"/>
          <w:sz w:val="18"/>
          <w:szCs w:val="18"/>
          <w:color w:val="auto"/>
        </w:rPr>
        <w:t>Gabelli &amp; Company, Inc.</w:t>
      </w:r>
    </w:p>
    <w:p>
      <w:pPr>
        <w:sectPr>
          <w:pgSz w:w="11900" w:h="16838" w:orient="portrait"/>
          <w:cols w:equalWidth="0" w:num="1">
            <w:col w:w="10219"/>
          </w:cols>
          <w:pgMar w:left="240" w:top="142" w:right="1440" w:bottom="0" w:gutter="0" w:footer="0" w:header="0"/>
        </w:sectPr>
      </w:pPr>
    </w:p>
    <w:bookmarkStart w:id="17" w:name="page18"/>
    <w:bookmarkEnd w:id="17"/>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Vice President - Mutual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Walter K. Walsh</w:t>
      </w:r>
    </w:p>
    <w:p>
      <w:pPr>
        <w:spacing w:after="0" w:line="238"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w:t>
      </w:r>
    </w:p>
    <w:p>
      <w:pPr>
        <w:ind w:left="1580"/>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Nominees</w:t>
      </w:r>
    </w:p>
    <w:p>
      <w:pPr>
        <w:spacing w:after="0" w:line="238" w:lineRule="auto"/>
        <w:rPr>
          <w:sz w:val="20"/>
          <w:szCs w:val="20"/>
          <w:color w:val="auto"/>
        </w:rPr>
      </w:pPr>
      <w:r>
        <w:rPr>
          <w:rFonts w:ascii="Courier New" w:cs="Courier New" w:eastAsia="Courier New" w:hAnsi="Courier New"/>
          <w:sz w:val="18"/>
          <w:szCs w:val="18"/>
          <w:color w:val="auto"/>
        </w:rPr>
        <w:t>(Cayman)</w:t>
      </w:r>
    </w:p>
    <w:p>
      <w:pPr>
        <w:ind w:left="1580"/>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Chief 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Kevin Bromley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Treasurer and Assistant Secretary</w:t>
      </w:r>
    </w:p>
    <w:p>
      <w:pPr>
        <w:spacing w:after="0" w:line="218"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Sandra Wright (2)</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Secretary and Assistant Treasurer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International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w:t>
      </w:r>
    </w:p>
    <w:p>
      <w:pPr>
        <w:ind w:left="1580"/>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Johann S. Wong (4)</w:t>
      </w:r>
    </w:p>
    <w:p>
      <w:pPr>
        <w:spacing w:after="0" w:line="238" w:lineRule="auto"/>
        <w:rPr>
          <w:sz w:val="20"/>
          <w:szCs w:val="20"/>
          <w:color w:val="auto"/>
        </w:rPr>
      </w:pPr>
      <w:r>
        <w:rPr>
          <w:rFonts w:ascii="Courier New" w:cs="Courier New" w:eastAsia="Courier New" w:hAnsi="Courier New"/>
          <w:sz w:val="18"/>
          <w:szCs w:val="18"/>
          <w:color w:val="auto"/>
        </w:rPr>
        <w:t>c/o Tremont (Bermuda) Limited</w:t>
      </w:r>
    </w:p>
    <w:p>
      <w:pPr>
        <w:sectPr>
          <w:pgSz w:w="11900" w:h="16838" w:orient="portrait"/>
          <w:cols w:equalWidth="0" w:num="1">
            <w:col w:w="10219"/>
          </w:cols>
          <w:pgMar w:left="240" w:top="339"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Tremont House</w:t>
      </w:r>
    </w:p>
    <w:p>
      <w:pPr>
        <w:spacing w:after="0" w:line="238" w:lineRule="auto"/>
        <w:rPr>
          <w:sz w:val="20"/>
          <w:szCs w:val="20"/>
          <w:color w:val="auto"/>
        </w:rPr>
      </w:pPr>
      <w:r>
        <w:rPr>
          <w:rFonts w:ascii="Courier New" w:cs="Courier New" w:eastAsia="Courier New" w:hAnsi="Courier New"/>
          <w:sz w:val="18"/>
          <w:szCs w:val="18"/>
          <w:color w:val="auto"/>
        </w:rPr>
        <w:t>4 Park Road</w:t>
      </w:r>
    </w:p>
    <w:p>
      <w:pPr>
        <w:spacing w:after="0"/>
        <w:rPr>
          <w:sz w:val="20"/>
          <w:szCs w:val="20"/>
          <w:color w:val="auto"/>
        </w:rPr>
      </w:pPr>
      <w:r>
        <w:rPr>
          <w:rFonts w:ascii="Courier New" w:cs="Courier New" w:eastAsia="Courier New" w:hAnsi="Courier New"/>
          <w:sz w:val="18"/>
          <w:szCs w:val="18"/>
          <w:color w:val="auto"/>
        </w:rPr>
        <w:t>Hamilton, HM11</w:t>
      </w:r>
    </w:p>
    <w:p>
      <w:pPr>
        <w:spacing w:after="0" w:line="237" w:lineRule="auto"/>
        <w:rPr>
          <w:sz w:val="20"/>
          <w:szCs w:val="20"/>
          <w:color w:val="auto"/>
        </w:rPr>
      </w:pPr>
      <w:r>
        <w:rPr>
          <w:rFonts w:ascii="Courier New" w:cs="Courier New" w:eastAsia="Courier New" w:hAnsi="Courier New"/>
          <w:sz w:val="18"/>
          <w:szCs w:val="18"/>
          <w:color w:val="auto"/>
        </w:rPr>
        <w:t>Bermuda</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Peter D. Anderson (5)</w:t>
      </w:r>
    </w:p>
    <w:p>
      <w:pPr>
        <w:spacing w:after="0" w:line="238" w:lineRule="auto"/>
        <w:rPr>
          <w:sz w:val="20"/>
          <w:szCs w:val="20"/>
          <w:color w:val="auto"/>
        </w:rPr>
      </w:pPr>
      <w:r>
        <w:rPr>
          <w:rFonts w:ascii="Courier New" w:cs="Courier New" w:eastAsia="Courier New" w:hAnsi="Courier New"/>
          <w:sz w:val="18"/>
          <w:szCs w:val="18"/>
          <w:color w:val="auto"/>
        </w:rPr>
        <w:t>Givens Hall Bank &amp; Trust</w:t>
      </w:r>
    </w:p>
    <w:p>
      <w:pPr>
        <w:spacing w:after="0"/>
        <w:rPr>
          <w:sz w:val="20"/>
          <w:szCs w:val="20"/>
          <w:color w:val="auto"/>
        </w:rPr>
      </w:pPr>
      <w:r>
        <w:rPr>
          <w:rFonts w:ascii="Courier New" w:cs="Courier New" w:eastAsia="Courier New" w:hAnsi="Courier New"/>
          <w:sz w:val="18"/>
          <w:szCs w:val="18"/>
          <w:color w:val="auto"/>
        </w:rPr>
        <w:t>Genesis Building</w:t>
      </w:r>
    </w:p>
    <w:p>
      <w:pPr>
        <w:spacing w:after="0" w:line="237" w:lineRule="auto"/>
        <w:rPr>
          <w:sz w:val="20"/>
          <w:szCs w:val="20"/>
          <w:color w:val="auto"/>
        </w:rPr>
      </w:pPr>
      <w:r>
        <w:rPr>
          <w:rFonts w:ascii="Courier New" w:cs="Courier New" w:eastAsia="Courier New" w:hAnsi="Courier New"/>
          <w:sz w:val="18"/>
          <w:szCs w:val="18"/>
          <w:color w:val="auto"/>
        </w:rPr>
        <w:t>P.O. Box 2097</w:t>
      </w:r>
    </w:p>
    <w:p>
      <w:pPr>
        <w:spacing w:after="0" w:line="238" w:lineRule="auto"/>
        <w:rPr>
          <w:sz w:val="20"/>
          <w:szCs w:val="20"/>
          <w:color w:val="auto"/>
        </w:rPr>
      </w:pPr>
      <w:r>
        <w:rPr>
          <w:rFonts w:ascii="Courier New" w:cs="Courier New" w:eastAsia="Courier New" w:hAnsi="Courier New"/>
          <w:sz w:val="18"/>
          <w:szCs w:val="18"/>
          <w:color w:val="auto"/>
        </w:rPr>
        <w:t>Grand Cayman, Cayman Islands</w:t>
      </w:r>
    </w:p>
    <w:p>
      <w:pPr>
        <w:spacing w:after="0"/>
        <w:rPr>
          <w:sz w:val="20"/>
          <w:szCs w:val="20"/>
          <w:color w:val="auto"/>
        </w:rPr>
      </w:pPr>
      <w:r>
        <w:rPr>
          <w:rFonts w:ascii="Courier New" w:cs="Courier New" w:eastAsia="Courier New" w:hAnsi="Courier New"/>
          <w:sz w:val="18"/>
          <w:szCs w:val="18"/>
          <w:color w:val="auto"/>
        </w:rPr>
        <w:t>BWI 3459498141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238" w:lineRule="auto"/>
        <w:rPr>
          <w:sz w:val="20"/>
          <w:szCs w:val="20"/>
          <w:color w:val="auto"/>
        </w:rPr>
      </w:pPr>
      <w:r>
        <w:rPr>
          <w:rFonts w:ascii="Courier New" w:cs="Courier New" w:eastAsia="Courier New" w:hAnsi="Courier New"/>
          <w:sz w:val="18"/>
          <w:szCs w:val="18"/>
          <w:color w:val="auto"/>
        </w:rPr>
        <w:t>Gabelli Global Partners Master</w:t>
      </w:r>
    </w:p>
    <w:p>
      <w:pPr>
        <w:spacing w:after="0"/>
        <w:rPr>
          <w:sz w:val="20"/>
          <w:szCs w:val="20"/>
          <w:color w:val="auto"/>
        </w:rPr>
      </w:pPr>
      <w:r>
        <w:rPr>
          <w:rFonts w:ascii="Courier New" w:cs="Courier New" w:eastAsia="Courier New" w:hAnsi="Courier New"/>
          <w:sz w:val="18"/>
          <w:szCs w:val="18"/>
          <w:color w:val="auto"/>
        </w:rPr>
        <w:t>Fund, Ltd.</w:t>
      </w:r>
    </w:p>
    <w:p>
      <w:pPr>
        <w:spacing w:after="0" w:line="237"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rPr>
          <w:sz w:val="20"/>
          <w:szCs w:val="20"/>
          <w:color w:val="auto"/>
        </w:rPr>
      </w:pPr>
      <w:r>
        <w:rPr>
          <w:rFonts w:ascii="Courier New" w:cs="Courier New" w:eastAsia="Courier New" w:hAnsi="Courier New"/>
          <w:sz w:val="18"/>
          <w:szCs w:val="18"/>
          <w:color w:val="auto"/>
        </w:rPr>
        <w:t>Institutional Capital Markets Bear Stearns</w:t>
      </w:r>
    </w:p>
    <w:p>
      <w:pPr>
        <w:spacing w:after="0" w:line="237" w:lineRule="auto"/>
        <w:rPr>
          <w:sz w:val="20"/>
          <w:szCs w:val="20"/>
          <w:color w:val="auto"/>
        </w:rPr>
      </w:pPr>
      <w:r>
        <w:rPr>
          <w:rFonts w:ascii="Courier New" w:cs="Courier New" w:eastAsia="Courier New" w:hAnsi="Courier New"/>
          <w:sz w:val="18"/>
          <w:szCs w:val="18"/>
          <w:color w:val="auto"/>
        </w:rPr>
        <w:t>International Ltd.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Trader, Gabelli Securities, Inc.</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European Partners Master</w:t>
      </w:r>
    </w:p>
    <w:p>
      <w:pPr>
        <w:spacing w:after="0" w:line="238" w:lineRule="auto"/>
        <w:rPr>
          <w:sz w:val="20"/>
          <w:szCs w:val="20"/>
          <w:color w:val="auto"/>
        </w:rPr>
      </w:pPr>
      <w:r>
        <w:rPr>
          <w:rFonts w:ascii="Courier New" w:cs="Courier New" w:eastAsia="Courier New" w:hAnsi="Courier New"/>
          <w:sz w:val="18"/>
          <w:szCs w:val="18"/>
          <w:color w:val="auto"/>
        </w:rPr>
        <w:t>Fund, Ltd.</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Kennedy Plaza, Suite 1250, Providence, RI 02903</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See above - Gabelli Group Capital Partners, Inc.</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38" w:lineRule="auto"/>
        <w:rPr>
          <w:sz w:val="20"/>
          <w:szCs w:val="20"/>
          <w:color w:val="auto"/>
        </w:rPr>
      </w:pPr>
      <w:r>
        <w:rPr>
          <w:rFonts w:ascii="Courier New" w:cs="Courier New" w:eastAsia="Courier New" w:hAnsi="Courier New"/>
          <w:sz w:val="18"/>
          <w:szCs w:val="18"/>
          <w:color w:val="auto"/>
        </w:rPr>
        <w:t>Business Consultant, Cerutti Consultants</w:t>
      </w:r>
    </w:p>
    <w:p>
      <w:pPr>
        <w:spacing w:after="0"/>
        <w:rPr>
          <w:sz w:val="20"/>
          <w:szCs w:val="20"/>
          <w:color w:val="auto"/>
        </w:rPr>
      </w:pPr>
      <w:r>
        <w:rPr>
          <w:rFonts w:ascii="Courier New" w:cs="Courier New" w:eastAsia="Courier New" w:hAnsi="Courier New"/>
          <w:sz w:val="18"/>
          <w:szCs w:val="18"/>
          <w:color w:val="auto"/>
        </w:rPr>
        <w:t>227 McLain Street</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Mount Kisco, NY</w:t>
      </w:r>
      <w:r>
        <w:rPr>
          <w:sz w:val="20"/>
          <w:szCs w:val="20"/>
          <w:color w:val="auto"/>
        </w:rPr>
        <w:tab/>
      </w:r>
      <w:r>
        <w:rPr>
          <w:rFonts w:ascii="Courier New" w:cs="Courier New" w:eastAsia="Courier New" w:hAnsi="Courier New"/>
          <w:sz w:val="18"/>
          <w:szCs w:val="18"/>
          <w:color w:val="auto"/>
        </w:rPr>
        <w:t>10540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Avrum Gray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Gbar Limited Partnership</w:t>
      </w:r>
    </w:p>
    <w:p>
      <w:pPr>
        <w:spacing w:after="0" w:line="238" w:lineRule="auto"/>
        <w:rPr>
          <w:sz w:val="20"/>
          <w:szCs w:val="20"/>
          <w:color w:val="auto"/>
        </w:rPr>
      </w:pPr>
      <w:r>
        <w:rPr>
          <w:rFonts w:ascii="Courier New" w:cs="Courier New" w:eastAsia="Courier New" w:hAnsi="Courier New"/>
          <w:sz w:val="18"/>
          <w:szCs w:val="18"/>
          <w:color w:val="auto"/>
        </w:rPr>
        <w:t>440 South LaSalle, Suite 2900</w:t>
      </w:r>
    </w:p>
    <w:p>
      <w:pPr>
        <w:spacing w:after="0"/>
        <w:rPr>
          <w:sz w:val="20"/>
          <w:szCs w:val="20"/>
          <w:color w:val="auto"/>
        </w:rPr>
      </w:pPr>
      <w:r>
        <w:rPr>
          <w:rFonts w:ascii="Courier New" w:cs="Courier New" w:eastAsia="Courier New" w:hAnsi="Courier New"/>
          <w:sz w:val="18"/>
          <w:szCs w:val="18"/>
          <w:color w:val="auto"/>
        </w:rPr>
        <w:t>Chicago, IL 60605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36" w:right="1440" w:bottom="132" w:gutter="0" w:footer="0" w:header="0"/>
        </w:sectPr>
      </w:pPr>
    </w:p>
    <w:bookmarkStart w:id="19" w:name="page20"/>
    <w:bookmarkEnd w:id="19"/>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ind w:left="860"/>
        <w:spacing w:after="0" w:line="238" w:lineRule="auto"/>
        <w:rPr>
          <w:sz w:val="20"/>
          <w:szCs w:val="20"/>
          <w:color w:val="auto"/>
        </w:rPr>
      </w:pPr>
      <w:r>
        <w:rPr>
          <w:rFonts w:ascii="Courier New" w:cs="Courier New" w:eastAsia="Courier New" w:hAnsi="Courier New"/>
          <w:sz w:val="18"/>
          <w:szCs w:val="18"/>
          <w:color w:val="auto"/>
        </w:rPr>
        <w:t>Mario J. Gabelli</w:t>
      </w: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E. McGrail</w:t>
      </w:r>
    </w:p>
    <w:p>
      <w:pPr>
        <w:spacing w:after="0" w:line="238" w:lineRule="auto"/>
        <w:rPr>
          <w:sz w:val="20"/>
          <w:szCs w:val="20"/>
          <w:color w:val="auto"/>
        </w:rPr>
      </w:pPr>
      <w:r>
        <w:rPr>
          <w:rFonts w:ascii="Courier New" w:cs="Courier New" w:eastAsia="Courier New" w:hAnsi="Courier New"/>
          <w:sz w:val="18"/>
          <w:szCs w:val="18"/>
          <w:color w:val="auto"/>
        </w:rPr>
        <w:t>President and Chief Operations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H. Keller</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Interactive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J. Evanson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Florida Light &amp; Power Co.</w:t>
      </w:r>
    </w:p>
    <w:p>
      <w:pPr>
        <w:spacing w:after="0" w:line="237" w:lineRule="auto"/>
        <w:rPr>
          <w:sz w:val="20"/>
          <w:szCs w:val="20"/>
          <w:color w:val="auto"/>
        </w:rPr>
      </w:pPr>
      <w:r>
        <w:rPr>
          <w:rFonts w:ascii="Courier New" w:cs="Courier New" w:eastAsia="Courier New" w:hAnsi="Courier New"/>
          <w:sz w:val="18"/>
          <w:szCs w:val="18"/>
          <w:color w:val="auto"/>
        </w:rPr>
        <w:t>P.O. Box 14000</w:t>
      </w:r>
    </w:p>
    <w:p>
      <w:pPr>
        <w:spacing w:after="0" w:line="238" w:lineRule="auto"/>
        <w:rPr>
          <w:sz w:val="20"/>
          <w:szCs w:val="20"/>
          <w:color w:val="auto"/>
        </w:rPr>
      </w:pPr>
      <w:r>
        <w:rPr>
          <w:rFonts w:ascii="Courier New" w:cs="Courier New" w:eastAsia="Courier New" w:hAnsi="Courier New"/>
          <w:sz w:val="18"/>
          <w:szCs w:val="18"/>
          <w:color w:val="auto"/>
        </w:rPr>
        <w:t>700 Universe Blvd.</w:t>
      </w:r>
    </w:p>
    <w:p>
      <w:pPr>
        <w:spacing w:after="0"/>
        <w:rPr>
          <w:sz w:val="20"/>
          <w:szCs w:val="20"/>
          <w:color w:val="auto"/>
        </w:rPr>
      </w:pPr>
      <w:r>
        <w:rPr>
          <w:rFonts w:ascii="Courier New" w:cs="Courier New" w:eastAsia="Courier New" w:hAnsi="Courier New"/>
          <w:sz w:val="18"/>
          <w:szCs w:val="18"/>
          <w:color w:val="auto"/>
        </w:rPr>
        <w:t>Juno Beach, FL 33408</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Salvatore Muoio</w:t>
      </w:r>
    </w:p>
    <w:p>
      <w:pPr>
        <w:spacing w:after="0" w:line="238" w:lineRule="auto"/>
        <w:rPr>
          <w:sz w:val="20"/>
          <w:szCs w:val="20"/>
          <w:color w:val="auto"/>
        </w:rPr>
      </w:pPr>
      <w:r>
        <w:rPr>
          <w:rFonts w:ascii="Courier New" w:cs="Courier New" w:eastAsia="Courier New" w:hAnsi="Courier New"/>
          <w:sz w:val="18"/>
          <w:szCs w:val="18"/>
          <w:color w:val="auto"/>
        </w:rPr>
        <w:t>Principal</w:t>
      </w:r>
    </w:p>
    <w:p>
      <w:pPr>
        <w:spacing w:after="0"/>
        <w:rPr>
          <w:sz w:val="20"/>
          <w:szCs w:val="20"/>
          <w:color w:val="auto"/>
        </w:rPr>
      </w:pPr>
      <w:r>
        <w:rPr>
          <w:rFonts w:ascii="Courier New" w:cs="Courier New" w:eastAsia="Courier New" w:hAnsi="Courier New"/>
          <w:sz w:val="18"/>
          <w:szCs w:val="18"/>
          <w:color w:val="auto"/>
        </w:rPr>
        <w:t>S. Muoio &amp; Co., LLC</w:t>
      </w:r>
    </w:p>
    <w:p>
      <w:pPr>
        <w:spacing w:after="0" w:line="237" w:lineRule="auto"/>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C. Mitchell</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rPr>
          <w:sz w:val="20"/>
          <w:szCs w:val="20"/>
          <w:color w:val="auto"/>
        </w:rPr>
      </w:pPr>
      <w:r>
        <w:rPr>
          <w:rFonts w:ascii="Courier New" w:cs="Courier New" w:eastAsia="Courier New" w:hAnsi="Courier New"/>
          <w:sz w:val="18"/>
          <w:szCs w:val="18"/>
          <w:color w:val="auto"/>
        </w:rPr>
        <w:t>c/o Lynch Interactive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Vincent S. Tese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Lawyer, Investment Adviser and Cable Television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w:t>
      </w:r>
    </w:p>
    <w:p>
      <w:pPr>
        <w:spacing w:after="0" w:line="238" w:lineRule="auto"/>
        <w:rPr>
          <w:sz w:val="20"/>
          <w:szCs w:val="20"/>
          <w:color w:val="auto"/>
        </w:rPr>
      </w:pPr>
      <w:r>
        <w:rPr>
          <w:rFonts w:ascii="Courier New" w:cs="Courier New" w:eastAsia="Courier New" w:hAnsi="Courier New"/>
          <w:sz w:val="18"/>
          <w:szCs w:val="18"/>
          <w:color w:val="auto"/>
        </w:rPr>
        <w:t>c/o Bear Stearns &amp; Company, Inc.</w:t>
      </w:r>
    </w:p>
    <w:p>
      <w:pPr>
        <w:spacing w:after="0"/>
        <w:rPr>
          <w:sz w:val="20"/>
          <w:szCs w:val="20"/>
          <w:color w:val="auto"/>
        </w:rPr>
      </w:pPr>
      <w:r>
        <w:rPr>
          <w:rFonts w:ascii="Courier New" w:cs="Courier New" w:eastAsia="Courier New" w:hAnsi="Courier New"/>
          <w:sz w:val="18"/>
          <w:szCs w:val="18"/>
          <w:color w:val="auto"/>
        </w:rPr>
        <w:t>245 Park Avenue, 19th Floor</w:t>
      </w:r>
    </w:p>
    <w:p>
      <w:pPr>
        <w:spacing w:after="0" w:line="237" w:lineRule="auto"/>
        <w:rPr>
          <w:sz w:val="20"/>
          <w:szCs w:val="20"/>
          <w:color w:val="auto"/>
        </w:rPr>
      </w:pPr>
      <w:r>
        <w:rPr>
          <w:rFonts w:ascii="Courier New" w:cs="Courier New" w:eastAsia="Courier New" w:hAnsi="Courier New"/>
          <w:sz w:val="18"/>
          <w:szCs w:val="18"/>
          <w:color w:val="auto"/>
        </w:rPr>
        <w:t>New York, NY 10167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ind w:left="1580"/>
        <w:spacing w:after="0" w:line="238" w:lineRule="auto"/>
        <w:rPr>
          <w:sz w:val="20"/>
          <w:szCs w:val="20"/>
          <w:color w:val="auto"/>
        </w:rPr>
      </w:pPr>
      <w:r>
        <w:rPr>
          <w:rFonts w:ascii="Courier New" w:cs="Courier New" w:eastAsia="Courier New" w:hAnsi="Courier New"/>
          <w:sz w:val="18"/>
          <w:szCs w:val="18"/>
          <w:color w:val="auto"/>
        </w:rPr>
        <w:t>John Fikre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Corporate Development, 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Brighton Communications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ectPr>
          <w:pgSz w:w="11900" w:h="16838" w:orient="portrait"/>
          <w:cols w:equalWidth="0" w:num="1">
            <w:col w:w="10219"/>
          </w:cols>
          <w:pgMar w:left="240" w:top="339"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See above - Lynch Interactive Corporation</w:t>
      </w:r>
    </w:p>
    <w:p>
      <w:pPr>
        <w:ind w:left="860"/>
        <w:spacing w:after="0" w:line="238" w:lineRule="auto"/>
        <w:rPr>
          <w:sz w:val="20"/>
          <w:szCs w:val="20"/>
          <w:color w:val="auto"/>
        </w:rPr>
      </w:pPr>
      <w:r>
        <w:rPr>
          <w:rFonts w:ascii="Courier New" w:cs="Courier New" w:eastAsia="Courier New" w:hAnsi="Courier New"/>
          <w:sz w:val="18"/>
          <w:szCs w:val="18"/>
          <w:color w:val="auto"/>
        </w:rPr>
        <w:t>John Fikre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Controller, Tresurer and Assistant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New Mexico Telephone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Yankee Street, Silver City, NM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88062</w:t>
      </w:r>
    </w:p>
    <w:p>
      <w:pPr>
        <w:spacing w:after="0" w:line="200" w:lineRule="exact"/>
        <w:rPr>
          <w:sz w:val="20"/>
          <w:szCs w:val="20"/>
          <w:color w:val="auto"/>
        </w:rPr>
      </w:pPr>
    </w:p>
    <w:p>
      <w:pPr>
        <w:sectPr>
          <w:pgSz w:w="11900" w:h="16838" w:orient="portrait"/>
          <w:cols w:equalWidth="0" w:num="2">
            <w:col w:w="3900" w:space="0"/>
            <w:col w:w="6319"/>
          </w:cols>
          <w:pgMar w:left="24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Brian E. Gordon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Clay Keen</w:t>
      </w:r>
    </w:p>
    <w:p>
      <w:pPr>
        <w:spacing w:after="0" w:line="238" w:lineRule="auto"/>
        <w:rPr>
          <w:sz w:val="20"/>
          <w:szCs w:val="20"/>
          <w:color w:val="auto"/>
        </w:rPr>
      </w:pPr>
      <w:r>
        <w:rPr>
          <w:rFonts w:ascii="Courier New" w:cs="Courier New" w:eastAsia="Courier New" w:hAnsi="Courier New"/>
          <w:sz w:val="18"/>
          <w:szCs w:val="18"/>
          <w:color w:val="auto"/>
        </w:rPr>
        <w:t>Route 6</w:t>
      </w:r>
    </w:p>
    <w:p>
      <w:pPr>
        <w:spacing w:after="0"/>
        <w:rPr>
          <w:sz w:val="20"/>
          <w:szCs w:val="20"/>
          <w:color w:val="auto"/>
        </w:rPr>
      </w:pPr>
      <w:r>
        <w:rPr>
          <w:rFonts w:ascii="Courier New" w:cs="Courier New" w:eastAsia="Courier New" w:hAnsi="Courier New"/>
          <w:sz w:val="18"/>
          <w:szCs w:val="18"/>
          <w:color w:val="auto"/>
        </w:rPr>
        <w:t>Box 270</w:t>
      </w:r>
    </w:p>
    <w:p>
      <w:pPr>
        <w:spacing w:after="0" w:line="237" w:lineRule="auto"/>
        <w:rPr>
          <w:sz w:val="20"/>
          <w:szCs w:val="20"/>
          <w:color w:val="auto"/>
        </w:rPr>
      </w:pPr>
      <w:r>
        <w:rPr>
          <w:rFonts w:ascii="Courier New" w:cs="Courier New" w:eastAsia="Courier New" w:hAnsi="Courier New"/>
          <w:sz w:val="18"/>
          <w:szCs w:val="18"/>
          <w:color w:val="auto"/>
        </w:rPr>
        <w:t>Greenville, TX 75401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Carmine Ceraolo</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Eugene P. Connell</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Brian E. Gordon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M. Baxter</w:t>
      </w:r>
    </w:p>
    <w:p>
      <w:pPr>
        <w:spacing w:after="0" w:line="238" w:lineRule="auto"/>
        <w:rPr>
          <w:sz w:val="20"/>
          <w:szCs w:val="20"/>
          <w:color w:val="auto"/>
        </w:rPr>
      </w:pPr>
      <w:r>
        <w:rPr>
          <w:rFonts w:ascii="Courier New" w:cs="Courier New" w:eastAsia="Courier New" w:hAnsi="Courier New"/>
          <w:sz w:val="18"/>
          <w:szCs w:val="18"/>
          <w:color w:val="auto"/>
        </w:rPr>
        <w:t>Senior Vice President - Operations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Inter-Community Telephone Company, L.L.C.</w:t>
      </w:r>
    </w:p>
    <w:p>
      <w:pPr>
        <w:spacing w:after="0" w:line="16"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P.O. Box A, Nome, ND</w:t>
      </w:r>
      <w:r>
        <w:rPr>
          <w:sz w:val="20"/>
          <w:szCs w:val="20"/>
          <w:color w:val="auto"/>
        </w:rPr>
        <w:tab/>
      </w:r>
      <w:r>
        <w:rPr>
          <w:rFonts w:ascii="Courier New" w:cs="Courier New" w:eastAsia="Courier New" w:hAnsi="Courier New"/>
          <w:sz w:val="16"/>
          <w:szCs w:val="16"/>
          <w:color w:val="auto"/>
        </w:rPr>
        <w:t>58062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Rau</w:t>
      </w:r>
    </w:p>
    <w:p>
      <w:pPr>
        <w:spacing w:after="0" w:line="238" w:lineRule="auto"/>
        <w:rPr>
          <w:sz w:val="20"/>
          <w:szCs w:val="20"/>
          <w:color w:val="auto"/>
        </w:rPr>
      </w:pPr>
      <w:r>
        <w:rPr>
          <w:rFonts w:ascii="Courier New" w:cs="Courier New" w:eastAsia="Courier New" w:hAnsi="Courier New"/>
          <w:sz w:val="18"/>
          <w:szCs w:val="18"/>
          <w:color w:val="auto"/>
        </w:rPr>
        <w:t>Executive Assistant</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ectPr>
          <w:pgSz w:w="11900" w:h="16838" w:orient="portrait"/>
          <w:cols w:equalWidth="0" w:num="1">
            <w:col w:w="10219"/>
          </w:cols>
          <w:pgMar w:left="240" w:top="339" w:right="1440" w:bottom="0" w:gutter="0" w:footer="0" w:header="0"/>
          <w:type w:val="continuous"/>
        </w:sectPr>
      </w:pPr>
    </w:p>
    <w:bookmarkStart w:id="21" w:name="page22"/>
    <w:bookmarkEnd w:id="21"/>
    <w:p>
      <w:pPr>
        <w:ind w:left="860"/>
        <w:spacing w:after="0"/>
        <w:rPr>
          <w:sz w:val="20"/>
          <w:szCs w:val="20"/>
          <w:color w:val="auto"/>
        </w:rPr>
      </w:pPr>
      <w:r>
        <w:rPr>
          <w:rFonts w:ascii="Courier New" w:cs="Courier New" w:eastAsia="Courier New" w:hAnsi="Courier New"/>
          <w:sz w:val="18"/>
          <w:szCs w:val="18"/>
          <w:color w:val="auto"/>
        </w:rPr>
        <w:t>Carmine P. Ceraolo</w:t>
      </w:r>
    </w:p>
    <w:p>
      <w:pPr>
        <w:spacing w:after="0" w:line="238" w:lineRule="auto"/>
        <w:rPr>
          <w:sz w:val="20"/>
          <w:szCs w:val="20"/>
          <w:color w:val="auto"/>
        </w:rPr>
      </w:pPr>
      <w:r>
        <w:rPr>
          <w:rFonts w:ascii="Courier New" w:cs="Courier New" w:eastAsia="Courier New" w:hAnsi="Courier New"/>
          <w:sz w:val="18"/>
          <w:szCs w:val="18"/>
          <w:color w:val="auto"/>
        </w:rPr>
        <w:t>Assistant Controller</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tabs>
          <w:tab w:leader="none" w:pos="3560" w:val="left"/>
        </w:tabs>
        <w:rPr>
          <w:sz w:val="20"/>
          <w:szCs w:val="20"/>
          <w:color w:val="auto"/>
        </w:rPr>
      </w:pPr>
      <w:r>
        <w:rPr>
          <w:rFonts w:ascii="Courier New" w:cs="Courier New" w:eastAsia="Courier New" w:hAnsi="Courier New"/>
          <w:sz w:val="18"/>
          <w:szCs w:val="18"/>
          <w:color w:val="auto"/>
        </w:rPr>
        <w:t>200 Broadway South, Buffalo, ND</w:t>
        <w:tab/>
        <w:t>58011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Keith S. Andersen</w:t>
      </w:r>
    </w:p>
    <w:p>
      <w:pPr>
        <w:spacing w:after="0" w:line="238" w:lineRule="auto"/>
        <w:rPr>
          <w:sz w:val="20"/>
          <w:szCs w:val="20"/>
          <w:color w:val="auto"/>
        </w:rPr>
      </w:pPr>
      <w:r>
        <w:rPr>
          <w:rFonts w:ascii="Courier New" w:cs="Courier New" w:eastAsia="Courier New" w:hAnsi="Courier New"/>
          <w:sz w:val="18"/>
          <w:szCs w:val="18"/>
          <w:color w:val="auto"/>
        </w:rPr>
        <w:t>See above - Inter-Community Telephone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Reff</w:t>
      </w:r>
    </w:p>
    <w:p>
      <w:pPr>
        <w:spacing w:after="0" w:line="238" w:lineRule="auto"/>
        <w:rPr>
          <w:sz w:val="20"/>
          <w:szCs w:val="20"/>
          <w:color w:val="auto"/>
        </w:rPr>
      </w:pPr>
      <w:r>
        <w:rPr>
          <w:rFonts w:ascii="Courier New" w:cs="Courier New" w:eastAsia="Courier New" w:hAnsi="Courier New"/>
          <w:sz w:val="18"/>
          <w:szCs w:val="18"/>
          <w:color w:val="auto"/>
        </w:rPr>
        <w:t>See above - Inter-Community Telephone Company</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Bently</w:t>
      </w:r>
    </w:p>
    <w:p>
      <w:pPr>
        <w:spacing w:after="0" w:line="238" w:lineRule="auto"/>
        <w:rPr>
          <w:sz w:val="20"/>
          <w:szCs w:val="20"/>
          <w:color w:val="auto"/>
        </w:rPr>
      </w:pPr>
      <w:r>
        <w:rPr>
          <w:rFonts w:ascii="Courier New" w:cs="Courier New" w:eastAsia="Courier New" w:hAnsi="Courier New"/>
          <w:sz w:val="18"/>
          <w:szCs w:val="18"/>
          <w:color w:val="auto"/>
        </w:rPr>
        <w:t>1210 E. Washington Ave</w:t>
      </w:r>
    </w:p>
    <w:p>
      <w:pPr>
        <w:spacing w:after="0"/>
        <w:rPr>
          <w:sz w:val="20"/>
          <w:szCs w:val="20"/>
          <w:color w:val="auto"/>
        </w:rPr>
      </w:pPr>
      <w:r>
        <w:rPr>
          <w:rFonts w:ascii="Courier New" w:cs="Courier New" w:eastAsia="Courier New" w:hAnsi="Courier New"/>
          <w:sz w:val="18"/>
          <w:szCs w:val="18"/>
          <w:color w:val="auto"/>
        </w:rPr>
        <w:t>Gilbert, AZ 85234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Keith S. Andersen</w:t>
      </w:r>
    </w:p>
    <w:p>
      <w:pPr>
        <w:spacing w:after="0" w:line="238" w:lineRule="auto"/>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Western New Mexico Telephone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Treasurer and Assistant Secretary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Vice President and Controller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 Citizen of Germany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 Citizen of the Cayman Islands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 Citizen of Bermuda</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 Citizen of Bermuda and Canada</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Citizen of the UK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 Citizen of Switzerland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 Citizen of Italy</w:t>
      </w:r>
    </w:p>
    <w:p>
      <w:pPr>
        <w:sectPr>
          <w:pgSz w:w="11900" w:h="16838" w:orient="portrait"/>
          <w:cols w:equalWidth="0" w:num="1">
            <w:col w:w="10219"/>
          </w:cols>
          <w:pgMar w:left="240" w:top="339" w:right="1440" w:bottom="1440" w:gutter="0" w:footer="0" w:header="0"/>
        </w:sectPr>
      </w:pPr>
    </w:p>
    <w:bookmarkStart w:id="22" w:name="page23"/>
    <w:bookmarkEnd w:id="22"/>
    <w:tbl>
      <w:tblPr>
        <w:tblLayout w:type="fixed"/>
        <w:tblInd w:w="99"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24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SCHEDULE II</w:t>
            </w:r>
          </w:p>
        </w:tc>
        <w:tc>
          <w:tcPr>
            <w:tcW w:w="1160" w:type="dxa"/>
            <w:vAlign w:val="bottom"/>
          </w:tcPr>
          <w:p>
            <w:pPr>
              <w:spacing w:after="0"/>
              <w:rPr>
                <w:sz w:val="17"/>
                <w:szCs w:val="17"/>
                <w:color w:val="auto"/>
              </w:rPr>
            </w:pPr>
          </w:p>
        </w:tc>
      </w:tr>
      <w:tr>
        <w:trPr>
          <w:trHeight w:val="405"/>
        </w:trPr>
        <w:tc>
          <w:tcPr>
            <w:tcW w:w="59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INFORMATION WITH RESPECT TO</w:t>
            </w:r>
          </w:p>
        </w:tc>
        <w:tc>
          <w:tcPr>
            <w:tcW w:w="1160" w:type="dxa"/>
            <w:vAlign w:val="bottom"/>
          </w:tcPr>
          <w:p>
            <w:pPr>
              <w:spacing w:after="0"/>
              <w:rPr>
                <w:sz w:val="24"/>
                <w:szCs w:val="24"/>
                <w:color w:val="auto"/>
              </w:rPr>
            </w:pPr>
          </w:p>
        </w:tc>
      </w:tr>
      <w:tr>
        <w:trPr>
          <w:trHeight w:val="203"/>
        </w:trPr>
        <w:tc>
          <w:tcPr>
            <w:tcW w:w="706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w w:val="96"/>
              </w:rPr>
              <w:t>TRANSACTIONS EFFECTED DURING THE PAST SIXTY DAYS OR</w:t>
            </w:r>
          </w:p>
        </w:tc>
      </w:tr>
      <w:tr>
        <w:trPr>
          <w:trHeight w:val="203"/>
        </w:trPr>
        <w:tc>
          <w:tcPr>
            <w:tcW w:w="706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rPr>
              <w:t>SINCE THE MOST RECENT FILING ON SCHEDULE 13D (1)</w:t>
            </w:r>
          </w:p>
        </w:tc>
      </w:tr>
      <w:tr>
        <w:trPr>
          <w:trHeight w:val="405"/>
        </w:trPr>
        <w:tc>
          <w:tcPr>
            <w:tcW w:w="3440" w:type="dxa"/>
            <w:vAlign w:val="bottom"/>
          </w:tcPr>
          <w:p>
            <w:pPr>
              <w:spacing w:after="0"/>
              <w:rPr>
                <w:sz w:val="24"/>
                <w:szCs w:val="24"/>
                <w:color w:val="auto"/>
              </w:rPr>
            </w:pP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SHARES PURCHASED</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AVERAGE</w:t>
            </w:r>
          </w:p>
        </w:tc>
      </w:tr>
      <w:tr>
        <w:trPr>
          <w:trHeight w:val="203"/>
        </w:trPr>
        <w:tc>
          <w:tcPr>
            <w:tcW w:w="3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DATE</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PRICE(2)</w:t>
            </w:r>
          </w:p>
        </w:tc>
      </w:tr>
      <w:tr>
        <w:trPr>
          <w:trHeight w:val="405"/>
        </w:trPr>
        <w:tc>
          <w:tcPr>
            <w:tcW w:w="34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COMMON STOCK-SOUTHWEST GAS CORP</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4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GAMCO INVESTORS, INC.</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4/23/02</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23.0500</w:t>
            </w:r>
          </w:p>
        </w:tc>
      </w:tr>
      <w:tr>
        <w:trPr>
          <w:trHeight w:val="203"/>
        </w:trPr>
        <w:tc>
          <w:tcPr>
            <w:tcW w:w="3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4/23/02</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22.7900</w:t>
            </w:r>
          </w:p>
        </w:tc>
      </w:tr>
      <w:tr>
        <w:trPr>
          <w:trHeight w:val="203"/>
        </w:trPr>
        <w:tc>
          <w:tcPr>
            <w:tcW w:w="3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4/23/02</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23.0200</w:t>
            </w:r>
          </w:p>
        </w:tc>
      </w:tr>
      <w:tr>
        <w:trPr>
          <w:trHeight w:val="203"/>
        </w:trPr>
        <w:tc>
          <w:tcPr>
            <w:tcW w:w="3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4/23/02</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23.0573</w:t>
            </w:r>
          </w:p>
        </w:tc>
      </w:tr>
      <w:tr>
        <w:trPr>
          <w:trHeight w:val="203"/>
        </w:trPr>
        <w:tc>
          <w:tcPr>
            <w:tcW w:w="3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4/17/02</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23.9380</w:t>
            </w:r>
          </w:p>
        </w:tc>
      </w:tr>
    </w:tbl>
    <w:p>
      <w:pPr>
        <w:spacing w:after="0" w:line="200" w:lineRule="exact"/>
        <w:rPr>
          <w:sz w:val="20"/>
          <w:szCs w:val="20"/>
          <w:color w:val="auto"/>
        </w:rPr>
      </w:pPr>
    </w:p>
    <w:p>
      <w:pPr>
        <w:spacing w:after="0" w:line="209" w:lineRule="exact"/>
        <w:rPr>
          <w:sz w:val="20"/>
          <w:szCs w:val="20"/>
          <w:color w:val="auto"/>
        </w:rPr>
      </w:pPr>
    </w:p>
    <w:p>
      <w:pPr>
        <w:ind w:left="419" w:right="2619" w:hanging="419"/>
        <w:spacing w:after="0" w:line="235" w:lineRule="auto"/>
        <w:tabs>
          <w:tab w:leader="none" w:pos="41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202"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sectPr>
      <w:pgSz w:w="11900" w:h="16838" w:orient="portrait"/>
      <w:cols w:equalWidth="0" w:num="1">
        <w:col w:w="9158"/>
      </w:cols>
      <w:pgMar w:left="1301"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amp;"/>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2019-12-12T10:12:58Z</dcterms:created>
  <dcterms:modified xsi:type="dcterms:W3CDTF">2019-12-12T10:12:58Z</dcterms:modified>
</cp:coreProperties>
</file>