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UNITED STATES</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Form 8-K </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CURRENT REPORT</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Section 13 or 15(d) of the Securities Exchange Act of 1934</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Date of Report (Date of earliest event reported) May 7, 2026 </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SOUTHWEST GAS HOLDINGS,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tbl>
      <w:tblPr>
        <w:tblW w:w="10205" w:type="dxa"/>
        <w:jc w:val="center"/>
        <w:tblInd w:w="0" w:type="dxa"/>
        <w:tblLayout w:type="fixed"/>
        <w:tblCellMar>
          <w:top w:w="28" w:type="dxa"/>
          <w:left w:w="28" w:type="dxa"/>
          <w:bottom w:w="28" w:type="dxa"/>
          <w:right w:w="28" w:type="dxa"/>
        </w:tblCellMar>
      </w:tblPr>
      <w:tblGrid>
        <w:gridCol w:w="1644"/>
        <w:gridCol w:w="1444"/>
        <w:gridCol w:w="1459"/>
        <w:gridCol w:w="109"/>
        <w:gridCol w:w="109"/>
        <w:gridCol w:w="109"/>
        <w:gridCol w:w="720"/>
        <w:gridCol w:w="720"/>
        <w:gridCol w:w="728"/>
        <w:gridCol w:w="109"/>
        <w:gridCol w:w="109"/>
        <w:gridCol w:w="109"/>
        <w:gridCol w:w="826"/>
        <w:gridCol w:w="826"/>
        <w:gridCol w:w="1184"/>
      </w:tblGrid>
      <w:tr>
        <w:trPr/>
        <w:tc>
          <w:tcPr>
            <w:tcW w:w="1644" w:type="dxa"/>
            <w:tcBorders/>
            <w:vAlign w:val="center"/>
          </w:tcPr>
          <w:p>
            <w:pPr>
              <w:pStyle w:val="TableContents"/>
              <w:bidi w:val="0"/>
              <w:spacing w:before="0" w:after="283"/>
              <w:jc w:val="left"/>
              <w:rPr>
                <w:sz w:val="4"/>
                <w:szCs w:val="4"/>
              </w:rPr>
            </w:pPr>
            <w:r>
              <w:rPr>
                <w:sz w:val="4"/>
                <w:szCs w:val="4"/>
              </w:rPr>
            </w:r>
          </w:p>
        </w:tc>
        <w:tc>
          <w:tcPr>
            <w:tcW w:w="1444" w:type="dxa"/>
            <w:tcBorders/>
            <w:vAlign w:val="center"/>
          </w:tcPr>
          <w:p>
            <w:pPr>
              <w:pStyle w:val="TableContents"/>
              <w:bidi w:val="0"/>
              <w:spacing w:before="0" w:after="283"/>
              <w:jc w:val="left"/>
              <w:rPr>
                <w:sz w:val="4"/>
                <w:szCs w:val="4"/>
              </w:rPr>
            </w:pPr>
            <w:r>
              <w:rPr>
                <w:sz w:val="4"/>
                <w:szCs w:val="4"/>
              </w:rPr>
            </w:r>
          </w:p>
        </w:tc>
        <w:tc>
          <w:tcPr>
            <w:tcW w:w="14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r>
      <w:tr>
        <w:trPr/>
        <w:tc>
          <w:tcPr>
            <w:tcW w:w="45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001-37976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81-3881866</w:t>
            </w:r>
          </w:p>
        </w:tc>
      </w:tr>
      <w:tr>
        <w:trPr/>
        <w:tc>
          <w:tcPr>
            <w:tcW w:w="45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 incorporation or organization)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21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(Commission File Number)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28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8360 S. Durango Drive </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Post Office Box 98510 </w:t>
      </w:r>
    </w:p>
    <w:p>
      <w:pPr>
        <w:pStyle w:val="TextBody"/>
        <w:bidi w:val="0"/>
        <w:spacing w:lineRule="auto" w:line="288" w:before="0" w:after="0"/>
        <w:jc w:val="left"/>
        <w:rPr/>
      </w:pPr>
      <w:r>
        <w:rPr>
          <w:rFonts w:ascii="Times New Roman;serif" w:hAnsi="Times New Roman;serif"/>
          <w:b/>
          <w:color w:val="000000"/>
          <w:sz w:val="20"/>
        </w:rPr>
        <w:t>Las Vegas, Nevada</w:t>
      </w:r>
      <w:r>
        <w:rPr>
          <w:color w:val="000000"/>
        </w:rPr>
        <w:t>        </w:t>
      </w:r>
      <w:r>
        <w:rPr>
          <w:rFonts w:ascii="Times New Roman;serif" w:hAnsi="Times New Roman;serif"/>
          <w:b/>
          <w:color w:val="000000"/>
          <w:sz w:val="20"/>
        </w:rPr>
        <w:t>89193-8510</w:t>
      </w:r>
      <w:r>
        <w:rPr>
          <w:color w:val="000000"/>
        </w:rPr>
        <w:t xml:space="preserve">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(Address of principal executive offices)    (Zip Code)</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Registrant's telephone number, including area code: (702) 876</w:t>
        <w:noBreakHyphen/>
        <w:t xml:space="preserve">7237 </w:t>
      </w:r>
    </w:p>
    <w:tbl>
      <w:tblPr>
        <w:tblW w:w="10205" w:type="dxa"/>
        <w:jc w:val="center"/>
        <w:tblInd w:w="0" w:type="dxa"/>
        <w:tblLayout w:type="fixed"/>
        <w:tblCellMar>
          <w:top w:w="28" w:type="dxa"/>
          <w:left w:w="28" w:type="dxa"/>
          <w:bottom w:w="28" w:type="dxa"/>
          <w:right w:w="28" w:type="dxa"/>
        </w:tblCellMar>
      </w:tblPr>
      <w:tblGrid>
        <w:gridCol w:w="1493"/>
        <w:gridCol w:w="1290"/>
        <w:gridCol w:w="1277"/>
        <w:gridCol w:w="273"/>
        <w:gridCol w:w="273"/>
        <w:gridCol w:w="273"/>
        <w:gridCol w:w="437"/>
        <w:gridCol w:w="437"/>
        <w:gridCol w:w="422"/>
        <w:gridCol w:w="273"/>
        <w:gridCol w:w="273"/>
        <w:gridCol w:w="273"/>
        <w:gridCol w:w="941"/>
        <w:gridCol w:w="941"/>
        <w:gridCol w:w="1329"/>
      </w:tblGrid>
      <w:tr>
        <w:trPr/>
        <w:tc>
          <w:tcPr>
            <w:tcW w:w="1493" w:type="dxa"/>
            <w:tcBorders/>
            <w:vAlign w:val="center"/>
          </w:tcPr>
          <w:p>
            <w:pPr>
              <w:pStyle w:val="TableContents"/>
              <w:bidi w:val="0"/>
              <w:spacing w:before="0" w:after="283"/>
              <w:jc w:val="left"/>
              <w:rPr>
                <w:sz w:val="4"/>
                <w:szCs w:val="4"/>
              </w:rPr>
            </w:pPr>
            <w:r>
              <w:rPr>
                <w:sz w:val="4"/>
                <w:szCs w:val="4"/>
              </w:rPr>
            </w:r>
          </w:p>
        </w:tc>
        <w:tc>
          <w:tcPr>
            <w:tcW w:w="1290" w:type="dxa"/>
            <w:tcBorders/>
            <w:vAlign w:val="center"/>
          </w:tcPr>
          <w:p>
            <w:pPr>
              <w:pStyle w:val="TableContents"/>
              <w:bidi w:val="0"/>
              <w:spacing w:before="0" w:after="283"/>
              <w:jc w:val="left"/>
              <w:rPr>
                <w:sz w:val="4"/>
                <w:szCs w:val="4"/>
              </w:rPr>
            </w:pPr>
            <w:r>
              <w:rPr>
                <w:sz w:val="4"/>
                <w:szCs w:val="4"/>
              </w:rPr>
            </w:r>
          </w:p>
        </w:tc>
        <w:tc>
          <w:tcPr>
            <w:tcW w:w="1277"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1329" w:type="dxa"/>
            <w:tcBorders/>
            <w:vAlign w:val="center"/>
          </w:tcPr>
          <w:p>
            <w:pPr>
              <w:pStyle w:val="TableContents"/>
              <w:bidi w:val="0"/>
              <w:spacing w:before="0" w:after="283"/>
              <w:jc w:val="left"/>
              <w:rPr>
                <w:sz w:val="4"/>
                <w:szCs w:val="4"/>
              </w:rPr>
            </w:pPr>
            <w:r>
              <w:rPr>
                <w:sz w:val="4"/>
                <w:szCs w:val="4"/>
              </w:rPr>
            </w:r>
          </w:p>
        </w:tc>
      </w:tr>
      <w:tr>
        <w:trPr/>
        <w:tc>
          <w:tcPr>
            <w:tcW w:w="1020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Securities registered pursuant to Section 12(b) of the Act:</w:t>
            </w:r>
          </w:p>
        </w:tc>
      </w:tr>
      <w:tr>
        <w:trPr/>
        <w:tc>
          <w:tcPr>
            <w:tcW w:w="40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Title of each class</w:t>
            </w:r>
          </w:p>
        </w:tc>
        <w:tc>
          <w:tcPr>
            <w:tcW w:w="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Trading Symbol</w:t>
            </w:r>
          </w:p>
        </w:tc>
        <w:tc>
          <w:tcPr>
            <w:tcW w:w="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Name of each exchange on which registered</w:t>
            </w:r>
          </w:p>
        </w:tc>
      </w:tr>
      <w:tr>
        <w:trPr/>
        <w:tc>
          <w:tcPr>
            <w:tcW w:w="4060"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Southwest Gas Holdings, Inc. Common Stock, $1 Par Value</w:t>
            </w:r>
          </w:p>
        </w:tc>
        <w:tc>
          <w:tcPr>
            <w:tcW w:w="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SWX</w:t>
            </w:r>
          </w:p>
        </w:tc>
        <w:tc>
          <w:tcPr>
            <w:tcW w:w="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1"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New York Stock Exchange</w:t>
            </w:r>
          </w:p>
        </w:tc>
      </w:tr>
      <w:tr>
        <w:trPr/>
        <w:tc>
          <w:tcPr>
            <w:tcW w:w="40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Preferred Stock Purchase Rights</w:t>
            </w:r>
          </w:p>
        </w:tc>
        <w:tc>
          <w:tcPr>
            <w:tcW w:w="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N/A</w:t>
            </w:r>
          </w:p>
        </w:tc>
        <w:tc>
          <w:tcPr>
            <w:tcW w:w="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New York Stock Exchange</w:t>
            </w:r>
          </w:p>
        </w:tc>
      </w:tr>
    </w:tbl>
    <w:p>
      <w:pPr>
        <w:pStyle w:val="TextBody"/>
        <w:bidi w:val="0"/>
        <w:spacing w:lineRule="auto" w:line="288" w:before="20" w:after="120"/>
        <w:jc w:val="left"/>
        <w:rPr>
          <w:rFonts w:ascii="Times New Roman;serif" w:hAnsi="Times New Roman;serif"/>
          <w:b/>
          <w:color w:val="000000"/>
          <w:sz w:val="18"/>
        </w:rPr>
      </w:pPr>
      <w:r>
        <w:rPr>
          <w:rFonts w:ascii="Times New Roman;serif" w:hAnsi="Times New Roman;serif"/>
          <w:b/>
          <w:color w:val="000000"/>
          <w:sz w:val="18"/>
        </w:rPr>
        <w:t>Check the appropriate box below if the Form 8-K filing is intended to simultaneously satisfy the filing obligation of the registrant under any of the following provisions:</w:t>
      </w:r>
    </w:p>
    <w:p>
      <w:pPr>
        <w:pStyle w:val="TextBody"/>
        <w:bidi w:val="0"/>
        <w:spacing w:lineRule="auto" w:line="288" w:before="0" w:after="140"/>
        <w:jc w:val="left"/>
        <w:rPr/>
      </w:pPr>
      <w:r>
        <w:rPr>
          <w:color w:val="000000"/>
        </w:rPr>
        <w:t xml:space="preserve">☐ </w:t>
      </w:r>
      <w:r>
        <w:rPr>
          <w:rFonts w:ascii="Times New Roman;serif" w:hAnsi="Times New Roman;serif"/>
          <w:b/>
          <w:color w:val="000000"/>
          <w:sz w:val="18"/>
        </w:rPr>
        <w:t>Written communications pursuant to Rule 425 under the Securities Act (17 CFR 230.425)</w:t>
      </w:r>
    </w:p>
    <w:p>
      <w:pPr>
        <w:pStyle w:val="TextBody"/>
        <w:bidi w:val="0"/>
        <w:spacing w:lineRule="auto" w:line="288" w:before="0" w:after="140"/>
        <w:jc w:val="left"/>
        <w:rPr/>
      </w:pPr>
      <w:r>
        <w:rPr>
          <w:color w:val="000000"/>
        </w:rPr>
        <w:t xml:space="preserve">☐ </w:t>
      </w:r>
      <w:r>
        <w:rPr>
          <w:rFonts w:ascii="Times New Roman;serif" w:hAnsi="Times New Roman;serif"/>
          <w:b/>
          <w:color w:val="000000"/>
          <w:sz w:val="18"/>
        </w:rPr>
        <w:t>Soliciting material pursuant to Rule 14a-12 under the Exchange Act (17 CFR 240.14a-12)</w:t>
      </w:r>
    </w:p>
    <w:p>
      <w:pPr>
        <w:pStyle w:val="TextBody"/>
        <w:bidi w:val="0"/>
        <w:spacing w:lineRule="auto" w:line="288" w:before="0" w:after="140"/>
        <w:jc w:val="left"/>
        <w:rPr/>
      </w:pPr>
      <w:r>
        <w:rPr>
          <w:color w:val="000000"/>
        </w:rPr>
        <w:t xml:space="preserve">☐ </w:t>
      </w:r>
      <w:r>
        <w:rPr>
          <w:rFonts w:ascii="Times New Roman;serif" w:hAnsi="Times New Roman;serif"/>
          <w:b/>
          <w:color w:val="000000"/>
          <w:sz w:val="18"/>
        </w:rPr>
        <w:t>Pre-commencement communications pursuant to Rule 14d-2(b) under the Exchange Act (17 CFR 240.14d-2(b))</w:t>
      </w:r>
    </w:p>
    <w:p>
      <w:pPr>
        <w:pStyle w:val="TextBody"/>
        <w:bidi w:val="0"/>
        <w:spacing w:lineRule="auto" w:line="288" w:before="0" w:after="0"/>
        <w:jc w:val="both"/>
        <w:rPr/>
      </w:pPr>
      <w:r>
        <w:rPr>
          <w:color w:val="000000"/>
        </w:rPr>
        <w:t xml:space="preserve">☐ </w:t>
      </w:r>
      <w:r>
        <w:rPr>
          <w:rFonts w:ascii="Times New Roman;serif" w:hAnsi="Times New Roman;serif"/>
          <w:b/>
          <w:color w:val="000000"/>
          <w:sz w:val="18"/>
        </w:rPr>
        <w:t>Pre-commencement communications pursuant to Rule 13e-4(c) under the Exchange Act (17 CFR 240.13e-4(c))</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16"/>
        </w:rPr>
        <w:t xml:space="preserve">Indicate by check mark whether the registrant is an emerging growth company as defined in Rule 405 of the Securities Act of 1933 (§230.405 of this chapter) or Rule 12b-2 of the Securities Exchange Act of 1934 (§240.12b-2 of this chapter).     Emerging growth company </w:t>
      </w:r>
      <w:r>
        <w:rPr>
          <w:color w:val="000000"/>
        </w:rPr>
        <w:t xml:space="preserve">☐ </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16"/>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5.07 Submission of Matters to a Vote of Security Holders.</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0"/>
        </w:rPr>
        <w:t xml:space="preserve">The Annual Meeting of Stockholders (“Annual Meeting”) of Southwest Gas Holdings, Inc. (“Company”) was held on May 7, 2026. Holders of approximately 64,890,029 shares of common stock, $1 par value per share, of the Company were represented in person or by proxy. At the Annual Meeting, the Company’s stockholders (i) elected each of the persons listed below to serve as a director of the Company for a term that will continue until the next Annual Meeting of Stockholders or until his or her successor has been duly elected and qualified or the director’s earlier resignation, death, or removal, (ii) approved, </w:t>
      </w:r>
      <w:r>
        <w:rPr>
          <w:rFonts w:ascii="Times New Roman;serif" w:hAnsi="Times New Roman;serif"/>
          <w:b w:val="false"/>
          <w:color w:val="000000"/>
          <w:sz w:val="20"/>
          <w:shd w:fill="FFFFFF" w:val="clear"/>
        </w:rPr>
        <w:t xml:space="preserve">on a non-binding, advisory basis, </w:t>
      </w:r>
      <w:r>
        <w:rPr>
          <w:rFonts w:ascii="Times New Roman;serif" w:hAnsi="Times New Roman;serif"/>
          <w:b w:val="false"/>
          <w:color w:val="000000"/>
          <w:sz w:val="20"/>
        </w:rPr>
        <w:t>the Company’s executive compensation, and (iii) ratified the appointment of PricewaterhouseCoopers LLP as the Company’s independent registered public accounting firm for fiscal year 2026. The following tables present the final results of voting on each of the matters submitted to a vote at the Annual Meeting:</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val="false"/>
          <w:color w:val="000000"/>
          <w:sz w:val="20"/>
        </w:rPr>
        <w:t>Proposal 1.</w:t>
      </w:r>
      <w:r>
        <w:rPr>
          <w:color w:val="000000"/>
        </w:rPr>
        <w:t xml:space="preserve"> </w:t>
      </w:r>
      <w:r>
        <w:rPr>
          <w:rFonts w:ascii="Times New Roman;serif" w:hAnsi="Times New Roman;serif"/>
          <w:b w:val="false"/>
          <w:color w:val="000000"/>
          <w:sz w:val="20"/>
        </w:rPr>
        <w:t>The election of directors.</w:t>
      </w:r>
    </w:p>
    <w:tbl>
      <w:tblPr>
        <w:tblW w:w="6489" w:type="dxa"/>
        <w:jc w:val="left"/>
        <w:tblInd w:w="0" w:type="dxa"/>
        <w:tblLayout w:type="fixed"/>
        <w:tblCellMar>
          <w:top w:w="28" w:type="dxa"/>
          <w:left w:w="28" w:type="dxa"/>
          <w:bottom w:w="28" w:type="dxa"/>
          <w:right w:w="28" w:type="dxa"/>
        </w:tblCellMar>
      </w:tblPr>
      <w:tblGrid>
        <w:gridCol w:w="672"/>
        <w:gridCol w:w="589"/>
        <w:gridCol w:w="598"/>
        <w:gridCol w:w="540"/>
        <w:gridCol w:w="541"/>
        <w:gridCol w:w="126"/>
        <w:gridCol w:w="109"/>
        <w:gridCol w:w="109"/>
        <w:gridCol w:w="109"/>
        <w:gridCol w:w="413"/>
        <w:gridCol w:w="413"/>
        <w:gridCol w:w="296"/>
        <w:gridCol w:w="109"/>
        <w:gridCol w:w="109"/>
        <w:gridCol w:w="109"/>
        <w:gridCol w:w="488"/>
        <w:gridCol w:w="488"/>
        <w:gridCol w:w="671"/>
      </w:tblGrid>
      <w:tr>
        <w:trPr/>
        <w:tc>
          <w:tcPr>
            <w:tcW w:w="672"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r>
      <w:tr>
        <w:trPr/>
        <w:tc>
          <w:tcPr>
            <w:tcW w:w="1859"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Name</w:t>
            </w:r>
          </w:p>
        </w:tc>
        <w:tc>
          <w:tcPr>
            <w:tcW w:w="1207" w:type="dxa"/>
            <w:gridSpan w:val="3"/>
            <w:tcBorders/>
            <w:tcMar>
              <w:top w:w="0" w:type="dxa"/>
              <w:left w:w="0" w:type="dxa"/>
              <w:bottom w:w="0" w:type="dxa"/>
              <w:right w:w="0" w:type="dxa"/>
            </w:tcMar>
            <w:vAlign w:val="center"/>
          </w:tcPr>
          <w:p>
            <w:pPr>
              <w:pStyle w:val="TableContents"/>
              <w:bidi w:val="0"/>
              <w:spacing w:lineRule="auto" w:line="268" w:before="0" w:after="0"/>
              <w:jc w:val="right"/>
              <w:rPr>
                <w:rFonts w:ascii="Times New Roman;serif" w:hAnsi="Times New Roman;serif"/>
                <w:b w:val="false"/>
                <w:color w:val="000000"/>
                <w:sz w:val="20"/>
                <w:u w:val="single"/>
              </w:rPr>
            </w:pPr>
            <w:r>
              <w:rPr>
                <w:rFonts w:ascii="Times New Roman;serif" w:hAnsi="Times New Roman;serif"/>
                <w:b w:val="false"/>
                <w:color w:val="000000"/>
                <w:sz w:val="20"/>
                <w:u w:val="single"/>
              </w:rPr>
              <w:t>For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cMar>
              <w:top w:w="0" w:type="dxa"/>
              <w:left w:w="0" w:type="dxa"/>
              <w:bottom w:w="0" w:type="dxa"/>
              <w:right w:w="0" w:type="dxa"/>
            </w:tcMar>
            <w:vAlign w:val="center"/>
          </w:tcPr>
          <w:p>
            <w:pPr>
              <w:pStyle w:val="TableContents"/>
              <w:bidi w:val="0"/>
              <w:spacing w:lineRule="auto" w:line="268" w:before="0" w:after="0"/>
              <w:jc w:val="right"/>
              <w:rPr>
                <w:rFonts w:ascii="Times New Roman;serif" w:hAnsi="Times New Roman;serif"/>
                <w:b w:val="false"/>
                <w:color w:val="000000"/>
                <w:sz w:val="20"/>
                <w:u w:val="single"/>
              </w:rPr>
            </w:pPr>
            <w:r>
              <w:rPr>
                <w:rFonts w:ascii="Times New Roman;serif" w:hAnsi="Times New Roman;serif"/>
                <w:b w:val="false"/>
                <w:color w:val="000000"/>
                <w:sz w:val="20"/>
                <w:u w:val="single"/>
              </w:rPr>
              <w:t>Withhold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7" w:type="dxa"/>
            <w:gridSpan w:val="3"/>
            <w:tcBorders/>
            <w:tcMar>
              <w:top w:w="0" w:type="dxa"/>
              <w:left w:w="0" w:type="dxa"/>
              <w:bottom w:w="0" w:type="dxa"/>
              <w:right w:w="0" w:type="dxa"/>
            </w:tcMar>
            <w:vAlign w:val="center"/>
          </w:tcPr>
          <w:p>
            <w:pPr>
              <w:pStyle w:val="TableContents"/>
              <w:bidi w:val="0"/>
              <w:spacing w:lineRule="auto" w:line="268" w:before="0" w:after="0"/>
              <w:jc w:val="right"/>
              <w:rPr>
                <w:rFonts w:ascii="Times New Roman;serif" w:hAnsi="Times New Roman;serif"/>
                <w:b w:val="false"/>
                <w:color w:val="000000"/>
                <w:sz w:val="20"/>
                <w:u w:val="single"/>
              </w:rPr>
            </w:pPr>
            <w:r>
              <w:rPr>
                <w:rFonts w:ascii="Times New Roman;serif" w:hAnsi="Times New Roman;serif"/>
                <w:b w:val="false"/>
                <w:color w:val="000000"/>
                <w:sz w:val="20"/>
                <w:u w:val="single"/>
              </w:rPr>
              <w:t>Broker Non-Votes</w:t>
            </w:r>
          </w:p>
        </w:tc>
      </w:tr>
      <w:tr>
        <w:trPr/>
        <w:tc>
          <w:tcPr>
            <w:tcW w:w="1859"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20"/>
              </w:rPr>
            </w:pPr>
            <w:r>
              <w:rPr>
                <w:rFonts w:ascii="Times New Roman;serif" w:hAnsi="Times New Roman;serif"/>
                <w:b w:val="false"/>
                <w:color w:val="000000"/>
                <w:sz w:val="20"/>
              </w:rPr>
              <w:t>Justin L. Brown</w:t>
            </w:r>
          </w:p>
        </w:tc>
        <w:tc>
          <w:tcPr>
            <w:tcW w:w="10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61,358,941 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179,003 </w:t>
            </w:r>
          </w:p>
        </w:tc>
        <w:tc>
          <w:tcPr>
            <w:tcW w:w="2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3,352,085 </w:t>
            </w:r>
          </w:p>
        </w:tc>
        <w:tc>
          <w:tcPr>
            <w:tcW w:w="6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9"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20"/>
              </w:rPr>
            </w:pPr>
            <w:r>
              <w:rPr>
                <w:rFonts w:ascii="Times New Roman;serif" w:hAnsi="Times New Roman;serif"/>
                <w:b w:val="false"/>
                <w:color w:val="000000"/>
                <w:sz w:val="20"/>
              </w:rPr>
              <w:t>Molly R. Carson</w:t>
            </w:r>
          </w:p>
        </w:tc>
        <w:tc>
          <w:tcPr>
            <w:tcW w:w="10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61,354,098 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183,845 </w:t>
            </w:r>
          </w:p>
        </w:tc>
        <w:tc>
          <w:tcPr>
            <w:tcW w:w="2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3,352,085 </w:t>
            </w:r>
          </w:p>
        </w:tc>
        <w:tc>
          <w:tcPr>
            <w:tcW w:w="6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9" w:type="dxa"/>
            <w:gridSpan w:val="3"/>
            <w:tcBorders/>
            <w:tcMar>
              <w:top w:w="0" w:type="dxa"/>
              <w:left w:w="0" w:type="dxa"/>
              <w:bottom w:w="0" w:type="dxa"/>
              <w:right w:w="0" w:type="dxa"/>
            </w:tcMar>
            <w:vAlign w:val="center"/>
          </w:tcPr>
          <w:p>
            <w:pPr>
              <w:pStyle w:val="TableContents"/>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E. Renae Conley</w:t>
            </w:r>
          </w:p>
        </w:tc>
        <w:tc>
          <w:tcPr>
            <w:tcW w:w="10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61,256,903 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281,041 </w:t>
            </w:r>
          </w:p>
        </w:tc>
        <w:tc>
          <w:tcPr>
            <w:tcW w:w="2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3,352,085 </w:t>
            </w:r>
          </w:p>
        </w:tc>
        <w:tc>
          <w:tcPr>
            <w:tcW w:w="6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9" w:type="dxa"/>
            <w:gridSpan w:val="3"/>
            <w:tcBorders/>
            <w:tcMar>
              <w:top w:w="0" w:type="dxa"/>
              <w:left w:w="0" w:type="dxa"/>
              <w:bottom w:w="0" w:type="dxa"/>
              <w:right w:w="0" w:type="dxa"/>
            </w:tcMar>
            <w:vAlign w:val="center"/>
          </w:tcPr>
          <w:p>
            <w:pPr>
              <w:pStyle w:val="TableContents"/>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Andrew W. Evans</w:t>
            </w:r>
          </w:p>
        </w:tc>
        <w:tc>
          <w:tcPr>
            <w:tcW w:w="10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61,368,753 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169,190 </w:t>
            </w:r>
          </w:p>
        </w:tc>
        <w:tc>
          <w:tcPr>
            <w:tcW w:w="2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3,352,085 </w:t>
            </w:r>
          </w:p>
        </w:tc>
        <w:tc>
          <w:tcPr>
            <w:tcW w:w="6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9"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20"/>
              </w:rPr>
            </w:pPr>
            <w:r>
              <w:rPr>
                <w:rFonts w:ascii="Times New Roman;serif" w:hAnsi="Times New Roman;serif"/>
                <w:b w:val="false"/>
                <w:color w:val="000000"/>
                <w:sz w:val="20"/>
              </w:rPr>
              <w:t>Leezie Kim</w:t>
            </w:r>
          </w:p>
        </w:tc>
        <w:tc>
          <w:tcPr>
            <w:tcW w:w="10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61,337,724 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200,219 </w:t>
            </w:r>
          </w:p>
        </w:tc>
        <w:tc>
          <w:tcPr>
            <w:tcW w:w="2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3,352,085 </w:t>
            </w:r>
          </w:p>
        </w:tc>
        <w:tc>
          <w:tcPr>
            <w:tcW w:w="6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9" w:type="dxa"/>
            <w:gridSpan w:val="3"/>
            <w:tcBorders/>
            <w:tcMar>
              <w:top w:w="0" w:type="dxa"/>
              <w:left w:w="0" w:type="dxa"/>
              <w:bottom w:w="0" w:type="dxa"/>
              <w:right w:w="0" w:type="dxa"/>
            </w:tcMar>
            <w:vAlign w:val="center"/>
          </w:tcPr>
          <w:p>
            <w:pPr>
              <w:pStyle w:val="TableContents"/>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Jane Lewis-Raymond</w:t>
            </w:r>
          </w:p>
        </w:tc>
        <w:tc>
          <w:tcPr>
            <w:tcW w:w="10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61,129,650 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408,293 </w:t>
            </w:r>
          </w:p>
        </w:tc>
        <w:tc>
          <w:tcPr>
            <w:tcW w:w="2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3,352,085 </w:t>
            </w:r>
          </w:p>
        </w:tc>
        <w:tc>
          <w:tcPr>
            <w:tcW w:w="6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9" w:type="dxa"/>
            <w:gridSpan w:val="3"/>
            <w:tcBorders/>
            <w:tcMar>
              <w:top w:w="0" w:type="dxa"/>
              <w:left w:w="0" w:type="dxa"/>
              <w:bottom w:w="0" w:type="dxa"/>
              <w:right w:w="0" w:type="dxa"/>
            </w:tcMar>
            <w:vAlign w:val="center"/>
          </w:tcPr>
          <w:p>
            <w:pPr>
              <w:pStyle w:val="TableContents"/>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Henry P. Linginfelter</w:t>
            </w:r>
          </w:p>
        </w:tc>
        <w:tc>
          <w:tcPr>
            <w:tcW w:w="10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61,351,122 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186,822 </w:t>
            </w:r>
          </w:p>
        </w:tc>
        <w:tc>
          <w:tcPr>
            <w:tcW w:w="2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3,352,085 </w:t>
            </w:r>
          </w:p>
        </w:tc>
        <w:tc>
          <w:tcPr>
            <w:tcW w:w="6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9" w:type="dxa"/>
            <w:gridSpan w:val="3"/>
            <w:tcBorders/>
            <w:tcMar>
              <w:top w:w="0" w:type="dxa"/>
              <w:left w:w="0" w:type="dxa"/>
              <w:bottom w:w="0" w:type="dxa"/>
              <w:right w:w="0" w:type="dxa"/>
            </w:tcMar>
            <w:vAlign w:val="center"/>
          </w:tcPr>
          <w:p>
            <w:pPr>
              <w:pStyle w:val="TableContents"/>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Carlos A. Ruisanchez</w:t>
            </w:r>
          </w:p>
        </w:tc>
        <w:tc>
          <w:tcPr>
            <w:tcW w:w="10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60,998,409 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539,534 </w:t>
            </w:r>
          </w:p>
        </w:tc>
        <w:tc>
          <w:tcPr>
            <w:tcW w:w="2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3,352,085 </w:t>
            </w:r>
          </w:p>
        </w:tc>
        <w:tc>
          <w:tcPr>
            <w:tcW w:w="6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9"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20"/>
              </w:rPr>
            </w:pPr>
            <w:r>
              <w:rPr>
                <w:rFonts w:ascii="Times New Roman;serif" w:hAnsi="Times New Roman;serif"/>
                <w:b w:val="false"/>
                <w:color w:val="000000"/>
                <w:sz w:val="20"/>
              </w:rPr>
              <w:t>Brian E. Sandoval</w:t>
            </w:r>
          </w:p>
        </w:tc>
        <w:tc>
          <w:tcPr>
            <w:tcW w:w="10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61,232,184 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305,760 </w:t>
            </w:r>
          </w:p>
        </w:tc>
        <w:tc>
          <w:tcPr>
            <w:tcW w:w="2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3,352,085 </w:t>
            </w:r>
          </w:p>
        </w:tc>
        <w:tc>
          <w:tcPr>
            <w:tcW w:w="6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9"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Ruby Sharma</w:t>
            </w:r>
          </w:p>
        </w:tc>
        <w:tc>
          <w:tcPr>
            <w:tcW w:w="10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61,318,542 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219,401 </w:t>
            </w:r>
          </w:p>
        </w:tc>
        <w:tc>
          <w:tcPr>
            <w:tcW w:w="2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3,352,085 </w:t>
            </w:r>
          </w:p>
        </w:tc>
        <w:tc>
          <w:tcPr>
            <w:tcW w:w="6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9"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Leslie T. Thornton</w:t>
            </w:r>
          </w:p>
        </w:tc>
        <w:tc>
          <w:tcPr>
            <w:tcW w:w="10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60,974,923 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563,020 </w:t>
            </w:r>
          </w:p>
        </w:tc>
        <w:tc>
          <w:tcPr>
            <w:tcW w:w="2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3,352,085 </w:t>
            </w:r>
          </w:p>
        </w:tc>
        <w:tc>
          <w:tcPr>
            <w:tcW w:w="6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val="false"/>
          <w:color w:val="000000"/>
          <w:sz w:val="20"/>
        </w:rPr>
        <w:t>Proposal 2.</w:t>
      </w:r>
      <w:r>
        <w:rPr>
          <w:color w:val="000000"/>
        </w:rPr>
        <w:t xml:space="preserve"> </w:t>
      </w:r>
      <w:r>
        <w:rPr>
          <w:rFonts w:ascii="Times New Roman;serif" w:hAnsi="Times New Roman;serif"/>
          <w:b w:val="false"/>
          <w:color w:val="000000"/>
          <w:sz w:val="20"/>
        </w:rPr>
        <w:t>Advisory vote to approve the Company's executive compensation.</w:t>
      </w:r>
    </w:p>
    <w:tbl>
      <w:tblPr>
        <w:tblW w:w="5462" w:type="dxa"/>
        <w:jc w:val="left"/>
        <w:tblInd w:w="0" w:type="dxa"/>
        <w:tblLayout w:type="fixed"/>
        <w:tblCellMar>
          <w:top w:w="28" w:type="dxa"/>
          <w:left w:w="28" w:type="dxa"/>
          <w:bottom w:w="28" w:type="dxa"/>
          <w:right w:w="28" w:type="dxa"/>
        </w:tblCellMar>
      </w:tblPr>
      <w:tblGrid>
        <w:gridCol w:w="583"/>
        <w:gridCol w:w="513"/>
        <w:gridCol w:w="126"/>
        <w:gridCol w:w="488"/>
        <w:gridCol w:w="488"/>
        <w:gridCol w:w="246"/>
        <w:gridCol w:w="413"/>
        <w:gridCol w:w="413"/>
        <w:gridCol w:w="246"/>
        <w:gridCol w:w="524"/>
        <w:gridCol w:w="524"/>
        <w:gridCol w:w="526"/>
        <w:gridCol w:w="109"/>
        <w:gridCol w:w="109"/>
        <w:gridCol w:w="154"/>
      </w:tblGrid>
      <w:tr>
        <w:trPr/>
        <w:tc>
          <w:tcPr>
            <w:tcW w:w="583"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22" w:type="dxa"/>
            <w:gridSpan w:val="3"/>
            <w:tcBorders/>
            <w:tcMar>
              <w:top w:w="0" w:type="dxa"/>
              <w:left w:w="0" w:type="dxa"/>
              <w:bottom w:w="0" w:type="dxa"/>
              <w:right w:w="0" w:type="dxa"/>
            </w:tcMar>
            <w:vAlign w:val="center"/>
          </w:tcPr>
          <w:p>
            <w:pPr>
              <w:pStyle w:val="TableContents"/>
              <w:bidi w:val="0"/>
              <w:spacing w:lineRule="auto" w:line="268" w:before="0" w:after="0"/>
              <w:jc w:val="right"/>
              <w:rPr>
                <w:rFonts w:ascii="Times New Roman;serif" w:hAnsi="Times New Roman;serif"/>
                <w:b w:val="false"/>
                <w:color w:val="000000"/>
                <w:sz w:val="20"/>
                <w:u w:val="single"/>
              </w:rPr>
            </w:pPr>
            <w:r>
              <w:rPr>
                <w:rFonts w:ascii="Times New Roman;serif" w:hAnsi="Times New Roman;serif"/>
                <w:b w:val="false"/>
                <w:color w:val="000000"/>
                <w:sz w:val="20"/>
                <w:u w:val="single"/>
              </w:rPr>
              <w:t>For</w:t>
            </w:r>
          </w:p>
        </w:tc>
        <w:tc>
          <w:tcPr>
            <w:tcW w:w="1222" w:type="dxa"/>
            <w:gridSpan w:val="3"/>
            <w:tcBorders/>
            <w:tcMar>
              <w:top w:w="0" w:type="dxa"/>
              <w:left w:w="0" w:type="dxa"/>
              <w:bottom w:w="0" w:type="dxa"/>
              <w:right w:w="0" w:type="dxa"/>
            </w:tcMar>
            <w:vAlign w:val="center"/>
          </w:tcPr>
          <w:p>
            <w:pPr>
              <w:pStyle w:val="TableContents"/>
              <w:bidi w:val="0"/>
              <w:spacing w:lineRule="auto" w:line="268" w:before="0" w:after="0"/>
              <w:jc w:val="right"/>
              <w:rPr>
                <w:rFonts w:ascii="Times New Roman;serif" w:hAnsi="Times New Roman;serif"/>
                <w:b w:val="false"/>
                <w:color w:val="000000"/>
                <w:sz w:val="20"/>
                <w:u w:val="single"/>
              </w:rPr>
            </w:pPr>
            <w:r>
              <w:rPr>
                <w:rFonts w:ascii="Times New Roman;serif" w:hAnsi="Times New Roman;serif"/>
                <w:b w:val="false"/>
                <w:color w:val="000000"/>
                <w:sz w:val="20"/>
                <w:u w:val="single"/>
              </w:rPr>
              <w:t>Against</w:t>
            </w:r>
          </w:p>
        </w:tc>
        <w:tc>
          <w:tcPr>
            <w:tcW w:w="1072" w:type="dxa"/>
            <w:gridSpan w:val="3"/>
            <w:tcBorders/>
            <w:tcMar>
              <w:top w:w="0" w:type="dxa"/>
              <w:left w:w="0" w:type="dxa"/>
              <w:bottom w:w="0" w:type="dxa"/>
              <w:right w:w="0" w:type="dxa"/>
            </w:tcMar>
            <w:vAlign w:val="center"/>
          </w:tcPr>
          <w:p>
            <w:pPr>
              <w:pStyle w:val="TableContents"/>
              <w:bidi w:val="0"/>
              <w:spacing w:lineRule="auto" w:line="268" w:before="0" w:after="0"/>
              <w:jc w:val="right"/>
              <w:rPr>
                <w:rFonts w:ascii="Times New Roman;serif" w:hAnsi="Times New Roman;serif"/>
                <w:b w:val="false"/>
                <w:color w:val="000000"/>
                <w:sz w:val="20"/>
                <w:u w:val="single"/>
              </w:rPr>
            </w:pPr>
            <w:r>
              <w:rPr>
                <w:rFonts w:ascii="Times New Roman;serif" w:hAnsi="Times New Roman;serif"/>
                <w:b w:val="false"/>
                <w:color w:val="000000"/>
                <w:sz w:val="20"/>
                <w:u w:val="single"/>
              </w:rPr>
              <w:t>Abstain</w:t>
            </w:r>
          </w:p>
        </w:tc>
        <w:tc>
          <w:tcPr>
            <w:tcW w:w="1574" w:type="dxa"/>
            <w:gridSpan w:val="3"/>
            <w:tcBorders/>
            <w:tcMar>
              <w:top w:w="0" w:type="dxa"/>
              <w:left w:w="0" w:type="dxa"/>
              <w:bottom w:w="0" w:type="dxa"/>
              <w:right w:w="0" w:type="dxa"/>
            </w:tcMar>
            <w:vAlign w:val="center"/>
          </w:tcPr>
          <w:p>
            <w:pPr>
              <w:pStyle w:val="TableContents"/>
              <w:bidi w:val="0"/>
              <w:spacing w:lineRule="auto" w:line="268" w:before="0" w:after="0"/>
              <w:jc w:val="right"/>
              <w:rPr>
                <w:rFonts w:ascii="Times New Roman;serif" w:hAnsi="Times New Roman;serif"/>
                <w:b w:val="false"/>
                <w:color w:val="000000"/>
                <w:sz w:val="20"/>
                <w:u w:val="single"/>
              </w:rPr>
            </w:pPr>
            <w:r>
              <w:rPr>
                <w:rFonts w:ascii="Times New Roman;serif" w:hAnsi="Times New Roman;serif"/>
                <w:b w:val="false"/>
                <w:color w:val="000000"/>
                <w:sz w:val="20"/>
                <w:u w:val="single"/>
              </w:rPr>
              <w:t>Broker Non-Votes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60,023,164 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1,391,423 </w:t>
            </w:r>
          </w:p>
        </w:tc>
        <w:tc>
          <w:tcPr>
            <w:tcW w:w="2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123,355 </w:t>
            </w:r>
          </w:p>
        </w:tc>
        <w:tc>
          <w:tcPr>
            <w:tcW w:w="2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3,352,085 </w:t>
            </w:r>
          </w:p>
        </w:tc>
        <w:tc>
          <w:tcPr>
            <w:tcW w:w="5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76" w:before="0" w:after="0"/>
        <w:jc w:val="left"/>
        <w:rPr/>
      </w:pPr>
      <w:r>
        <w:rPr>
          <w:rFonts w:ascii="Times New Roman;serif" w:hAnsi="Times New Roman;serif"/>
          <w:b w:val="false"/>
          <w:color w:val="000000"/>
          <w:sz w:val="20"/>
        </w:rPr>
        <w:t>Proposal 3.</w:t>
      </w:r>
      <w:r>
        <w:rPr>
          <w:color w:val="000000"/>
        </w:rPr>
        <w:t xml:space="preserve"> </w:t>
      </w:r>
      <w:r>
        <w:rPr>
          <w:rFonts w:ascii="Times New Roman;serif" w:hAnsi="Times New Roman;serif"/>
          <w:b w:val="false"/>
          <w:color w:val="000000"/>
          <w:sz w:val="20"/>
        </w:rPr>
        <w:t>The ratification of the selection of PricewaterhouseCoopers LLP as the independent registered public accounting firm for the Company for fiscal year 2026.</w:t>
      </w:r>
    </w:p>
    <w:tbl>
      <w:tblPr>
        <w:tblW w:w="3783" w:type="dxa"/>
        <w:jc w:val="left"/>
        <w:tblInd w:w="0" w:type="dxa"/>
        <w:tblLayout w:type="fixed"/>
        <w:tblCellMar>
          <w:top w:w="28" w:type="dxa"/>
          <w:left w:w="28" w:type="dxa"/>
          <w:bottom w:w="28" w:type="dxa"/>
          <w:right w:w="28" w:type="dxa"/>
        </w:tblCellMar>
      </w:tblPr>
      <w:tblGrid>
        <w:gridCol w:w="583"/>
        <w:gridCol w:w="513"/>
        <w:gridCol w:w="126"/>
        <w:gridCol w:w="488"/>
        <w:gridCol w:w="488"/>
        <w:gridCol w:w="246"/>
        <w:gridCol w:w="360"/>
        <w:gridCol w:w="361"/>
        <w:gridCol w:w="246"/>
        <w:gridCol w:w="109"/>
        <w:gridCol w:w="109"/>
        <w:gridCol w:w="154"/>
      </w:tblGrid>
      <w:tr>
        <w:trPr/>
        <w:tc>
          <w:tcPr>
            <w:tcW w:w="583"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22" w:type="dxa"/>
            <w:gridSpan w:val="3"/>
            <w:tcBorders/>
            <w:tcMar>
              <w:top w:w="0" w:type="dxa"/>
              <w:left w:w="0" w:type="dxa"/>
              <w:bottom w:w="0" w:type="dxa"/>
              <w:right w:w="0" w:type="dxa"/>
            </w:tcMar>
            <w:vAlign w:val="center"/>
          </w:tcPr>
          <w:p>
            <w:pPr>
              <w:pStyle w:val="TableContents"/>
              <w:bidi w:val="0"/>
              <w:spacing w:lineRule="auto" w:line="268" w:before="0" w:after="0"/>
              <w:jc w:val="right"/>
              <w:rPr>
                <w:rFonts w:ascii="Times New Roman;serif" w:hAnsi="Times New Roman;serif"/>
                <w:b w:val="false"/>
                <w:color w:val="000000"/>
                <w:sz w:val="20"/>
                <w:u w:val="single"/>
              </w:rPr>
            </w:pPr>
            <w:r>
              <w:rPr>
                <w:rFonts w:ascii="Times New Roman;serif" w:hAnsi="Times New Roman;serif"/>
                <w:b w:val="false"/>
                <w:color w:val="000000"/>
                <w:sz w:val="20"/>
                <w:u w:val="single"/>
              </w:rPr>
              <w:t>For</w:t>
            </w:r>
          </w:p>
        </w:tc>
        <w:tc>
          <w:tcPr>
            <w:tcW w:w="1222" w:type="dxa"/>
            <w:gridSpan w:val="3"/>
            <w:tcBorders/>
            <w:tcMar>
              <w:top w:w="0" w:type="dxa"/>
              <w:left w:w="0" w:type="dxa"/>
              <w:bottom w:w="0" w:type="dxa"/>
              <w:right w:w="0" w:type="dxa"/>
            </w:tcMar>
            <w:vAlign w:val="center"/>
          </w:tcPr>
          <w:p>
            <w:pPr>
              <w:pStyle w:val="TableContents"/>
              <w:bidi w:val="0"/>
              <w:spacing w:lineRule="auto" w:line="268" w:before="0" w:after="0"/>
              <w:jc w:val="right"/>
              <w:rPr>
                <w:rFonts w:ascii="Times New Roman;serif" w:hAnsi="Times New Roman;serif"/>
                <w:b w:val="false"/>
                <w:color w:val="000000"/>
                <w:sz w:val="20"/>
                <w:u w:val="single"/>
              </w:rPr>
            </w:pPr>
            <w:r>
              <w:rPr>
                <w:rFonts w:ascii="Times New Roman;serif" w:hAnsi="Times New Roman;serif"/>
                <w:b w:val="false"/>
                <w:color w:val="000000"/>
                <w:sz w:val="20"/>
                <w:u w:val="single"/>
              </w:rPr>
              <w:t>Against</w:t>
            </w:r>
          </w:p>
        </w:tc>
        <w:tc>
          <w:tcPr>
            <w:tcW w:w="967" w:type="dxa"/>
            <w:gridSpan w:val="3"/>
            <w:tcBorders/>
            <w:tcMar>
              <w:top w:w="0" w:type="dxa"/>
              <w:left w:w="0" w:type="dxa"/>
              <w:bottom w:w="0" w:type="dxa"/>
              <w:right w:w="0" w:type="dxa"/>
            </w:tcMar>
            <w:vAlign w:val="center"/>
          </w:tcPr>
          <w:p>
            <w:pPr>
              <w:pStyle w:val="TableContents"/>
              <w:bidi w:val="0"/>
              <w:spacing w:lineRule="auto" w:line="268" w:before="0" w:after="0"/>
              <w:jc w:val="right"/>
              <w:rPr>
                <w:rFonts w:ascii="Times New Roman;serif" w:hAnsi="Times New Roman;serif"/>
                <w:b w:val="false"/>
                <w:color w:val="000000"/>
                <w:sz w:val="20"/>
                <w:u w:val="single"/>
              </w:rPr>
            </w:pPr>
            <w:r>
              <w:rPr>
                <w:rFonts w:ascii="Times New Roman;serif" w:hAnsi="Times New Roman;serif"/>
                <w:b w:val="false"/>
                <w:color w:val="000000"/>
                <w:sz w:val="20"/>
                <w:u w:val="single"/>
              </w:rPr>
              <w:t>Abstain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63,689,643 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1,130,062 </w:t>
            </w:r>
          </w:p>
        </w:tc>
        <w:tc>
          <w:tcPr>
            <w:tcW w:w="2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70,323 </w:t>
            </w:r>
          </w:p>
        </w:tc>
        <w:tc>
          <w:tcPr>
            <w:tcW w:w="2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lineRule="auto" w:line="288" w:before="0" w:after="0"/>
        <w:jc w:val="right"/>
        <w:rPr>
          <w:color w:val="000000"/>
        </w:rPr>
      </w:pPr>
      <w:r>
        <w:rPr>
          <w:color w:val="000000"/>
        </w:rPr>
        <w:t>                    </w:t>
      </w:r>
    </w:p>
    <w:tbl>
      <w:tblPr>
        <w:tblW w:w="8922" w:type="dxa"/>
        <w:jc w:val="right"/>
        <w:tblInd w:w="0" w:type="dxa"/>
        <w:tblLayout w:type="fixed"/>
        <w:tblCellMar>
          <w:top w:w="28" w:type="dxa"/>
          <w:left w:w="28" w:type="dxa"/>
          <w:bottom w:w="28" w:type="dxa"/>
          <w:right w:w="28" w:type="dxa"/>
        </w:tblCellMar>
      </w:tblPr>
      <w:tblGrid>
        <w:gridCol w:w="455"/>
        <w:gridCol w:w="401"/>
        <w:gridCol w:w="404"/>
        <w:gridCol w:w="109"/>
        <w:gridCol w:w="109"/>
        <w:gridCol w:w="109"/>
        <w:gridCol w:w="2145"/>
        <w:gridCol w:w="2145"/>
        <w:gridCol w:w="3045"/>
      </w:tblGrid>
      <w:tr>
        <w:trPr/>
        <w:tc>
          <w:tcPr>
            <w:tcW w:w="455"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5" w:type="dxa"/>
            <w:tcBorders/>
            <w:vAlign w:val="center"/>
          </w:tcPr>
          <w:p>
            <w:pPr>
              <w:pStyle w:val="TableContents"/>
              <w:bidi w:val="0"/>
              <w:spacing w:before="0" w:after="283"/>
              <w:jc w:val="left"/>
              <w:rPr>
                <w:sz w:val="4"/>
                <w:szCs w:val="4"/>
              </w:rPr>
            </w:pPr>
            <w:r>
              <w:rPr>
                <w:sz w:val="4"/>
                <w:szCs w:val="4"/>
              </w:rPr>
            </w:r>
          </w:p>
        </w:tc>
        <w:tc>
          <w:tcPr>
            <w:tcW w:w="2145" w:type="dxa"/>
            <w:tcBorders/>
            <w:vAlign w:val="center"/>
          </w:tcPr>
          <w:p>
            <w:pPr>
              <w:pStyle w:val="TableContents"/>
              <w:bidi w:val="0"/>
              <w:spacing w:before="0" w:after="283"/>
              <w:jc w:val="left"/>
              <w:rPr>
                <w:sz w:val="4"/>
                <w:szCs w:val="4"/>
              </w:rPr>
            </w:pPr>
            <w:r>
              <w:rPr>
                <w:sz w:val="4"/>
                <w:szCs w:val="4"/>
              </w:rPr>
            </w:r>
          </w:p>
        </w:tc>
        <w:tc>
          <w:tcPr>
            <w:tcW w:w="3045" w:type="dxa"/>
            <w:tcBorders/>
            <w:vAlign w:val="center"/>
          </w:tcPr>
          <w:p>
            <w:pPr>
              <w:pStyle w:val="TableContents"/>
              <w:bidi w:val="0"/>
              <w:spacing w:before="0" w:after="283"/>
              <w:jc w:val="left"/>
              <w:rPr>
                <w:sz w:val="4"/>
                <w:szCs w:val="4"/>
              </w:rPr>
            </w:pPr>
            <w:r>
              <w:rPr>
                <w:sz w:val="4"/>
                <w:szCs w:val="4"/>
              </w:rPr>
            </w:r>
          </w:p>
        </w:tc>
      </w:tr>
      <w:tr>
        <w:trPr/>
        <w:tc>
          <w:tcPr>
            <w:tcW w:w="1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SOUTHWEST GAS HOLDINGS, INC.</w:t>
            </w:r>
          </w:p>
        </w:tc>
      </w:tr>
      <w:tr>
        <w:trPr/>
        <w:tc>
          <w:tcPr>
            <w:tcW w:w="1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11,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Catherine M. Mazzeo</w:t>
            </w:r>
          </w:p>
        </w:tc>
      </w:tr>
      <w:tr>
        <w:trPr/>
        <w:tc>
          <w:tcPr>
            <w:tcW w:w="1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Catherine M. Mazzeo</w:t>
            </w:r>
          </w:p>
        </w:tc>
      </w:tr>
      <w:tr>
        <w:trPr/>
        <w:tc>
          <w:tcPr>
            <w:tcW w:w="1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5"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Senior Vice President/Chief Legal, Safety &amp; Compliance Officer and Corporate Secretary</w:t>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pStyle w:val="TextBody"/>
        <w:bidi w:val="0"/>
        <w:spacing w:before="0" w:after="0"/>
        <w:jc w:val="both"/>
        <w:rPr/>
      </w:pPr>
      <w:r>
        <w:rPr/>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650</Words>
  <Characters>3698</Characters>
  <CharactersWithSpaces>4335</CharactersWithSpaces>
  <Paragraphs>116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