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8"/>
        <w:spacing w:after="0"/>
        <w:rPr>
          <w:sz w:val="20"/>
          <w:szCs w:val="20"/>
          <w:color w:val="auto"/>
        </w:rPr>
      </w:pPr>
      <w:r>
        <w:rPr>
          <w:rFonts w:ascii="Times New Roman" w:cs="Times New Roman" w:eastAsia="Times New Roman" w:hAnsi="Times New Roman"/>
          <w:sz w:val="27"/>
          <w:szCs w:val="27"/>
          <w:b w:val="1"/>
          <w:bCs w:val="1"/>
          <w:color w:val="auto"/>
        </w:rPr>
        <w:drawing>
          <wp:anchor simplePos="0" relativeHeight="251657728" behindDoc="1" locked="0" layoutInCell="0" allowOverlap="1">
            <wp:simplePos x="0" y="0"/>
            <wp:positionH relativeFrom="page">
              <wp:posOffset>464185</wp:posOffset>
            </wp:positionH>
            <wp:positionV relativeFrom="page">
              <wp:posOffset>161925</wp:posOffset>
            </wp:positionV>
            <wp:extent cx="662051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620510" cy="8255"/>
                    </a:xfrm>
                    <a:prstGeom prst="rect">
                      <a:avLst/>
                    </a:prstGeom>
                    <a:noFill/>
                  </pic:spPr>
                </pic:pic>
              </a:graphicData>
            </a:graphic>
          </wp:anchor>
        </w:drawing>
        <w:drawing>
          <wp:anchor simplePos="0" relativeHeight="251657728" behindDoc="1" locked="0" layoutInCell="0" allowOverlap="1">
            <wp:simplePos x="0" y="0"/>
            <wp:positionH relativeFrom="page">
              <wp:posOffset>464185</wp:posOffset>
            </wp:positionH>
            <wp:positionV relativeFrom="page">
              <wp:posOffset>202565</wp:posOffset>
            </wp:positionV>
            <wp:extent cx="662051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620510" cy="8255"/>
                    </a:xfrm>
                    <a:prstGeom prst="rect">
                      <a:avLst/>
                    </a:prstGeom>
                    <a:noFill/>
                  </pic:spPr>
                </pic:pic>
              </a:graphicData>
            </a:graphic>
          </wp:anchor>
        </w:drawing>
        <w:t>UNITED STATES</w:t>
      </w:r>
    </w:p>
    <w:p>
      <w:pPr>
        <w:spacing w:after="0" w:line="45" w:lineRule="exact"/>
        <w:rPr>
          <w:sz w:val="24"/>
          <w:szCs w:val="24"/>
          <w:color w:val="auto"/>
        </w:rPr>
      </w:pPr>
    </w:p>
    <w:p>
      <w:pPr>
        <w:jc w:val="center"/>
        <w:ind w:right="-8"/>
        <w:spacing w:after="0"/>
        <w:rPr>
          <w:sz w:val="20"/>
          <w:szCs w:val="20"/>
          <w:color w:val="auto"/>
        </w:rPr>
      </w:pPr>
      <w:r>
        <w:rPr>
          <w:rFonts w:ascii="Times New Roman" w:cs="Times New Roman" w:eastAsia="Times New Roman" w:hAnsi="Times New Roman"/>
          <w:sz w:val="27"/>
          <w:szCs w:val="27"/>
          <w:b w:val="1"/>
          <w:bCs w:val="1"/>
          <w:color w:val="auto"/>
        </w:rPr>
        <w:t>SECURITIES AND EXCHANGE COMMISSION</w:t>
      </w:r>
    </w:p>
    <w:p>
      <w:pPr>
        <w:spacing w:after="0" w:line="11" w:lineRule="exact"/>
        <w:rPr>
          <w:sz w:val="24"/>
          <w:szCs w:val="24"/>
          <w:color w:val="auto"/>
        </w:rPr>
      </w:pPr>
    </w:p>
    <w:p>
      <w:pPr>
        <w:jc w:val="center"/>
        <w:ind w:right="-8"/>
        <w:spacing w:after="0"/>
        <w:rPr>
          <w:sz w:val="20"/>
          <w:szCs w:val="20"/>
          <w:color w:val="auto"/>
        </w:rPr>
      </w:pPr>
      <w:r>
        <w:rPr>
          <w:rFonts w:ascii="Times New Roman" w:cs="Times New Roman" w:eastAsia="Times New Roman" w:hAnsi="Times New Roman"/>
          <w:sz w:val="17"/>
          <w:szCs w:val="17"/>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2612390</wp:posOffset>
            </wp:positionH>
            <wp:positionV relativeFrom="paragraph">
              <wp:posOffset>142875</wp:posOffset>
            </wp:positionV>
            <wp:extent cx="139573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395730" cy="8255"/>
                    </a:xfrm>
                    <a:prstGeom prst="rect">
                      <a:avLst/>
                    </a:prstGeom>
                    <a:noFill/>
                  </pic:spPr>
                </pic:pic>
              </a:graphicData>
            </a:graphic>
          </wp:anchor>
        </w:drawing>
      </w:r>
    </w:p>
    <w:p>
      <w:pPr>
        <w:spacing w:after="0" w:line="284" w:lineRule="exact"/>
        <w:rPr>
          <w:sz w:val="24"/>
          <w:szCs w:val="24"/>
          <w:color w:val="auto"/>
        </w:rPr>
      </w:pPr>
    </w:p>
    <w:p>
      <w:pPr>
        <w:jc w:val="center"/>
        <w:ind w:right="-8"/>
        <w:spacing w:after="0"/>
        <w:rPr>
          <w:sz w:val="20"/>
          <w:szCs w:val="20"/>
          <w:color w:val="auto"/>
        </w:rPr>
      </w:pPr>
      <w:r>
        <w:rPr>
          <w:rFonts w:ascii="Times New Roman" w:cs="Times New Roman" w:eastAsia="Times New Roman" w:hAnsi="Times New Roman"/>
          <w:sz w:val="27"/>
          <w:szCs w:val="27"/>
          <w:b w:val="1"/>
          <w:bCs w:val="1"/>
          <w:color w:val="auto"/>
        </w:rPr>
        <w:t>SCHEDULE TO</w:t>
      </w:r>
    </w:p>
    <w:p>
      <w:pPr>
        <w:spacing w:after="0" w:line="127" w:lineRule="exact"/>
        <w:rPr>
          <w:sz w:val="24"/>
          <w:szCs w:val="24"/>
          <w:color w:val="auto"/>
        </w:rPr>
      </w:pPr>
    </w:p>
    <w:p>
      <w:pPr>
        <w:jc w:val="center"/>
        <w:ind w:right="-8"/>
        <w:spacing w:after="0"/>
        <w:rPr>
          <w:sz w:val="20"/>
          <w:szCs w:val="20"/>
          <w:color w:val="auto"/>
        </w:rPr>
      </w:pPr>
      <w:r>
        <w:rPr>
          <w:rFonts w:ascii="Times New Roman" w:cs="Times New Roman" w:eastAsia="Times New Roman" w:hAnsi="Times New Roman"/>
          <w:sz w:val="17"/>
          <w:szCs w:val="17"/>
          <w:b w:val="1"/>
          <w:bCs w:val="1"/>
          <w:color w:val="auto"/>
        </w:rPr>
        <w:t>Tender Offer Statement under Section 14(d)(1) or 13(e)(1)</w:t>
      </w:r>
    </w:p>
    <w:p>
      <w:pPr>
        <w:spacing w:after="0" w:line="30" w:lineRule="exact"/>
        <w:rPr>
          <w:sz w:val="24"/>
          <w:szCs w:val="24"/>
          <w:color w:val="auto"/>
        </w:rPr>
      </w:pPr>
    </w:p>
    <w:p>
      <w:pPr>
        <w:jc w:val="center"/>
        <w:ind w:right="-8"/>
        <w:spacing w:after="0"/>
        <w:rPr>
          <w:sz w:val="20"/>
          <w:szCs w:val="20"/>
          <w:color w:val="auto"/>
        </w:rPr>
      </w:pPr>
      <w:r>
        <w:rPr>
          <w:rFonts w:ascii="Times New Roman" w:cs="Times New Roman" w:eastAsia="Times New Roman" w:hAnsi="Times New Roman"/>
          <w:sz w:val="17"/>
          <w:szCs w:val="17"/>
          <w:b w:val="1"/>
          <w:bCs w:val="1"/>
          <w:color w:val="auto"/>
        </w:rPr>
        <w:t>of the Securities Exchange Act of 1934</w:t>
      </w:r>
    </w:p>
    <w:p>
      <w:pPr>
        <w:spacing w:after="0" w:line="9" w:lineRule="exact"/>
        <w:rPr>
          <w:sz w:val="24"/>
          <w:szCs w:val="24"/>
          <w:color w:val="auto"/>
        </w:rPr>
      </w:pPr>
    </w:p>
    <w:p>
      <w:pPr>
        <w:jc w:val="center"/>
        <w:ind w:right="-8"/>
        <w:spacing w:after="0"/>
        <w:rPr>
          <w:sz w:val="20"/>
          <w:szCs w:val="20"/>
          <w:color w:val="auto"/>
        </w:rPr>
      </w:pPr>
      <w:r>
        <w:rPr>
          <w:rFonts w:ascii="Times New Roman" w:cs="Times New Roman" w:eastAsia="Times New Roman" w:hAnsi="Times New Roman"/>
          <w:sz w:val="17"/>
          <w:szCs w:val="17"/>
          <w:b w:val="1"/>
          <w:bCs w:val="1"/>
          <w:color w:val="auto"/>
        </w:rPr>
        <w:t>(Amendment No. 28)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2612390</wp:posOffset>
            </wp:positionH>
            <wp:positionV relativeFrom="paragraph">
              <wp:posOffset>151130</wp:posOffset>
            </wp:positionV>
            <wp:extent cx="139573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395730" cy="8255"/>
                    </a:xfrm>
                    <a:prstGeom prst="rect">
                      <a:avLst/>
                    </a:prstGeom>
                    <a:noFill/>
                  </pic:spPr>
                </pic:pic>
              </a:graphicData>
            </a:graphic>
          </wp:anchor>
        </w:drawing>
      </w:r>
    </w:p>
    <w:p>
      <w:pPr>
        <w:spacing w:after="0" w:line="292" w:lineRule="exact"/>
        <w:rPr>
          <w:sz w:val="24"/>
          <w:szCs w:val="24"/>
          <w:color w:val="auto"/>
        </w:rPr>
      </w:pPr>
    </w:p>
    <w:p>
      <w:pPr>
        <w:jc w:val="center"/>
        <w:ind w:right="-8"/>
        <w:spacing w:after="0"/>
        <w:rPr>
          <w:sz w:val="20"/>
          <w:szCs w:val="20"/>
          <w:color w:val="auto"/>
        </w:rPr>
      </w:pPr>
      <w:r>
        <w:rPr>
          <w:rFonts w:ascii="Times New Roman" w:cs="Times New Roman" w:eastAsia="Times New Roman" w:hAnsi="Times New Roman"/>
          <w:sz w:val="34"/>
          <w:szCs w:val="34"/>
          <w:b w:val="1"/>
          <w:bCs w:val="1"/>
          <w:color w:val="auto"/>
        </w:rPr>
        <w:t>SOUTHWEST GAS HOLDINGS, INC.</w:t>
      </w:r>
    </w:p>
    <w:p>
      <w:pPr>
        <w:spacing w:after="0" w:line="50" w:lineRule="exact"/>
        <w:rPr>
          <w:sz w:val="24"/>
          <w:szCs w:val="24"/>
          <w:color w:val="auto"/>
        </w:rPr>
      </w:pPr>
    </w:p>
    <w:p>
      <w:pPr>
        <w:jc w:val="center"/>
        <w:ind w:right="-8"/>
        <w:spacing w:after="0"/>
        <w:rPr>
          <w:sz w:val="20"/>
          <w:szCs w:val="20"/>
          <w:color w:val="auto"/>
        </w:rPr>
      </w:pPr>
      <w:r>
        <w:rPr>
          <w:rFonts w:ascii="Times New Roman" w:cs="Times New Roman" w:eastAsia="Times New Roman" w:hAnsi="Times New Roman"/>
          <w:sz w:val="15"/>
          <w:szCs w:val="15"/>
          <w:b w:val="1"/>
          <w:bCs w:val="1"/>
          <w:color w:val="auto"/>
        </w:rPr>
        <w:t>(Name of Subject Company)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2612390</wp:posOffset>
            </wp:positionH>
            <wp:positionV relativeFrom="paragraph">
              <wp:posOffset>147320</wp:posOffset>
            </wp:positionV>
            <wp:extent cx="139573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395730" cy="8255"/>
                    </a:xfrm>
                    <a:prstGeom prst="rect">
                      <a:avLst/>
                    </a:prstGeom>
                    <a:noFill/>
                  </pic:spPr>
                </pic:pic>
              </a:graphicData>
            </a:graphic>
          </wp:anchor>
        </w:drawing>
      </w:r>
    </w:p>
    <w:p>
      <w:pPr>
        <w:spacing w:after="0" w:line="291" w:lineRule="exact"/>
        <w:rPr>
          <w:sz w:val="24"/>
          <w:szCs w:val="24"/>
          <w:color w:val="auto"/>
        </w:rPr>
      </w:pPr>
    </w:p>
    <w:p>
      <w:pPr>
        <w:jc w:val="center"/>
        <w:ind w:right="11"/>
        <w:spacing w:after="0"/>
        <w:rPr>
          <w:sz w:val="20"/>
          <w:szCs w:val="20"/>
          <w:color w:val="auto"/>
        </w:rPr>
      </w:pPr>
      <w:r>
        <w:rPr>
          <w:rFonts w:ascii="Times New Roman" w:cs="Times New Roman" w:eastAsia="Times New Roman" w:hAnsi="Times New Roman"/>
          <w:sz w:val="27"/>
          <w:szCs w:val="27"/>
          <w:b w:val="1"/>
          <w:bCs w:val="1"/>
          <w:color w:val="auto"/>
        </w:rPr>
        <w:t>IEP UTILITY HOLDINGS LLC</w:t>
      </w:r>
    </w:p>
    <w:p>
      <w:pPr>
        <w:spacing w:after="0" w:line="45" w:lineRule="exact"/>
        <w:rPr>
          <w:sz w:val="24"/>
          <w:szCs w:val="24"/>
          <w:color w:val="auto"/>
        </w:rPr>
      </w:pPr>
    </w:p>
    <w:p>
      <w:pPr>
        <w:jc w:val="center"/>
        <w:ind w:right="-8"/>
        <w:spacing w:after="0"/>
        <w:rPr>
          <w:sz w:val="20"/>
          <w:szCs w:val="20"/>
          <w:color w:val="auto"/>
        </w:rPr>
      </w:pPr>
      <w:r>
        <w:rPr>
          <w:rFonts w:ascii="Times New Roman" w:cs="Times New Roman" w:eastAsia="Times New Roman" w:hAnsi="Times New Roman"/>
          <w:sz w:val="27"/>
          <w:szCs w:val="27"/>
          <w:b w:val="1"/>
          <w:bCs w:val="1"/>
          <w:color w:val="auto"/>
        </w:rPr>
        <w:t>ICAHN ENTERPRISES HOLDINGS L.P.</w:t>
      </w:r>
    </w:p>
    <w:p>
      <w:pPr>
        <w:spacing w:after="0" w:line="9" w:lineRule="exact"/>
        <w:rPr>
          <w:sz w:val="24"/>
          <w:szCs w:val="24"/>
          <w:color w:val="auto"/>
        </w:rPr>
      </w:pPr>
    </w:p>
    <w:p>
      <w:pPr>
        <w:jc w:val="center"/>
        <w:ind w:right="-8"/>
        <w:spacing w:after="0"/>
        <w:rPr>
          <w:sz w:val="20"/>
          <w:szCs w:val="20"/>
          <w:color w:val="auto"/>
        </w:rPr>
      </w:pPr>
      <w:r>
        <w:rPr>
          <w:rFonts w:ascii="Times New Roman" w:cs="Times New Roman" w:eastAsia="Times New Roman" w:hAnsi="Times New Roman"/>
          <w:sz w:val="27"/>
          <w:szCs w:val="27"/>
          <w:b w:val="1"/>
          <w:bCs w:val="1"/>
          <w:color w:val="auto"/>
        </w:rPr>
        <w:t>ICAHN ENTERPRISES L.P.</w:t>
      </w:r>
    </w:p>
    <w:p>
      <w:pPr>
        <w:spacing w:after="0" w:line="9" w:lineRule="exact"/>
        <w:rPr>
          <w:sz w:val="24"/>
          <w:szCs w:val="24"/>
          <w:color w:val="auto"/>
        </w:rPr>
      </w:pPr>
    </w:p>
    <w:p>
      <w:pPr>
        <w:jc w:val="center"/>
        <w:ind w:right="-8"/>
        <w:spacing w:after="0"/>
        <w:rPr>
          <w:sz w:val="20"/>
          <w:szCs w:val="20"/>
          <w:color w:val="auto"/>
        </w:rPr>
      </w:pPr>
      <w:r>
        <w:rPr>
          <w:rFonts w:ascii="Times New Roman" w:cs="Times New Roman" w:eastAsia="Times New Roman" w:hAnsi="Times New Roman"/>
          <w:sz w:val="27"/>
          <w:szCs w:val="27"/>
          <w:b w:val="1"/>
          <w:bCs w:val="1"/>
          <w:color w:val="auto"/>
        </w:rPr>
        <w:t>ICAHN ENTERPRISES G.P. INC.</w:t>
      </w:r>
    </w:p>
    <w:p>
      <w:pPr>
        <w:spacing w:after="0" w:line="9" w:lineRule="exact"/>
        <w:rPr>
          <w:sz w:val="24"/>
          <w:szCs w:val="24"/>
          <w:color w:val="auto"/>
        </w:rPr>
      </w:pPr>
    </w:p>
    <w:p>
      <w:pPr>
        <w:jc w:val="center"/>
        <w:ind w:right="-8"/>
        <w:spacing w:after="0"/>
        <w:rPr>
          <w:sz w:val="20"/>
          <w:szCs w:val="20"/>
          <w:color w:val="auto"/>
        </w:rPr>
      </w:pPr>
      <w:r>
        <w:rPr>
          <w:rFonts w:ascii="Times New Roman" w:cs="Times New Roman" w:eastAsia="Times New Roman" w:hAnsi="Times New Roman"/>
          <w:sz w:val="27"/>
          <w:szCs w:val="27"/>
          <w:b w:val="1"/>
          <w:bCs w:val="1"/>
          <w:color w:val="auto"/>
        </w:rPr>
        <w:t>BECKTON CORP.</w:t>
      </w:r>
    </w:p>
    <w:p>
      <w:pPr>
        <w:spacing w:after="0" w:line="9" w:lineRule="exact"/>
        <w:rPr>
          <w:sz w:val="24"/>
          <w:szCs w:val="24"/>
          <w:color w:val="auto"/>
        </w:rPr>
      </w:pPr>
    </w:p>
    <w:p>
      <w:pPr>
        <w:jc w:val="center"/>
        <w:ind w:right="-8"/>
        <w:spacing w:after="0"/>
        <w:rPr>
          <w:sz w:val="20"/>
          <w:szCs w:val="20"/>
          <w:color w:val="auto"/>
        </w:rPr>
      </w:pPr>
      <w:r>
        <w:rPr>
          <w:rFonts w:ascii="Times New Roman" w:cs="Times New Roman" w:eastAsia="Times New Roman" w:hAnsi="Times New Roman"/>
          <w:sz w:val="27"/>
          <w:szCs w:val="27"/>
          <w:b w:val="1"/>
          <w:bCs w:val="1"/>
          <w:color w:val="auto"/>
        </w:rPr>
        <w:t>CARL C. ICAHN</w:t>
      </w:r>
    </w:p>
    <w:p>
      <w:pPr>
        <w:spacing w:after="0" w:line="3" w:lineRule="exact"/>
        <w:rPr>
          <w:sz w:val="24"/>
          <w:szCs w:val="24"/>
          <w:color w:val="auto"/>
        </w:rPr>
      </w:pPr>
    </w:p>
    <w:p>
      <w:pPr>
        <w:jc w:val="center"/>
        <w:ind w:right="-8"/>
        <w:spacing w:after="0"/>
        <w:rPr>
          <w:sz w:val="20"/>
          <w:szCs w:val="20"/>
          <w:color w:val="auto"/>
        </w:rPr>
      </w:pPr>
      <w:r>
        <w:rPr>
          <w:rFonts w:ascii="Times New Roman" w:cs="Times New Roman" w:eastAsia="Times New Roman" w:hAnsi="Times New Roman"/>
          <w:sz w:val="14"/>
          <w:szCs w:val="14"/>
          <w:b w:val="1"/>
          <w:bCs w:val="1"/>
          <w:color w:val="auto"/>
        </w:rPr>
        <w:t>(Names of Filing Persons) (Offerors))</w:t>
      </w:r>
    </w:p>
    <w:p>
      <w:pPr>
        <w:spacing w:after="0" w:line="72" w:lineRule="exact"/>
        <w:rPr>
          <w:sz w:val="24"/>
          <w:szCs w:val="24"/>
          <w:color w:val="auto"/>
        </w:rPr>
      </w:pPr>
    </w:p>
    <w:p>
      <w:pPr>
        <w:jc w:val="center"/>
        <w:ind w:right="-8"/>
        <w:spacing w:after="0"/>
        <w:rPr>
          <w:sz w:val="20"/>
          <w:szCs w:val="20"/>
          <w:color w:val="auto"/>
        </w:rPr>
      </w:pPr>
      <w:r>
        <w:rPr>
          <w:rFonts w:ascii="Times New Roman" w:cs="Times New Roman" w:eastAsia="Times New Roman" w:hAnsi="Times New Roman"/>
          <w:sz w:val="15"/>
          <w:szCs w:val="15"/>
          <w:b w:val="1"/>
          <w:bCs w:val="1"/>
          <w:color w:val="auto"/>
        </w:rPr>
        <w:t>Common Stock, par value $1.00 per share</w:t>
      </w:r>
    </w:p>
    <w:p>
      <w:pPr>
        <w:spacing w:after="0" w:line="29" w:lineRule="exact"/>
        <w:rPr>
          <w:sz w:val="24"/>
          <w:szCs w:val="24"/>
          <w:color w:val="auto"/>
        </w:rPr>
      </w:pPr>
    </w:p>
    <w:p>
      <w:pPr>
        <w:jc w:val="center"/>
        <w:ind w:right="-8"/>
        <w:spacing w:after="0"/>
        <w:rPr>
          <w:sz w:val="20"/>
          <w:szCs w:val="20"/>
          <w:color w:val="auto"/>
        </w:rPr>
      </w:pPr>
      <w:r>
        <w:rPr>
          <w:rFonts w:ascii="Times New Roman" w:cs="Times New Roman" w:eastAsia="Times New Roman" w:hAnsi="Times New Roman"/>
          <w:sz w:val="14"/>
          <w:szCs w:val="14"/>
          <w:b w:val="1"/>
          <w:bCs w:val="1"/>
          <w:color w:val="auto"/>
        </w:rPr>
        <w:t>(Title of Class of Securities)</w:t>
      </w:r>
    </w:p>
    <w:p>
      <w:pPr>
        <w:spacing w:after="0" w:line="76" w:lineRule="exact"/>
        <w:rPr>
          <w:sz w:val="24"/>
          <w:szCs w:val="24"/>
          <w:color w:val="auto"/>
        </w:rPr>
      </w:pPr>
    </w:p>
    <w:p>
      <w:pPr>
        <w:jc w:val="center"/>
        <w:ind w:right="-8"/>
        <w:spacing w:after="0"/>
        <w:rPr>
          <w:sz w:val="20"/>
          <w:szCs w:val="20"/>
          <w:color w:val="auto"/>
        </w:rPr>
      </w:pPr>
      <w:r>
        <w:rPr>
          <w:rFonts w:ascii="Times New Roman" w:cs="Times New Roman" w:eastAsia="Times New Roman" w:hAnsi="Times New Roman"/>
          <w:sz w:val="15"/>
          <w:szCs w:val="15"/>
          <w:color w:val="auto"/>
        </w:rPr>
        <w:t>844895102</w:t>
      </w:r>
    </w:p>
    <w:p>
      <w:pPr>
        <w:spacing w:after="0" w:line="25" w:lineRule="exact"/>
        <w:rPr>
          <w:sz w:val="24"/>
          <w:szCs w:val="24"/>
          <w:color w:val="auto"/>
        </w:rPr>
      </w:pPr>
    </w:p>
    <w:p>
      <w:pPr>
        <w:jc w:val="center"/>
        <w:ind w:right="-8"/>
        <w:spacing w:after="0"/>
        <w:rPr>
          <w:sz w:val="20"/>
          <w:szCs w:val="20"/>
          <w:color w:val="auto"/>
        </w:rPr>
      </w:pPr>
      <w:r>
        <w:rPr>
          <w:rFonts w:ascii="Times New Roman" w:cs="Times New Roman" w:eastAsia="Times New Roman" w:hAnsi="Times New Roman"/>
          <w:sz w:val="14"/>
          <w:szCs w:val="14"/>
          <w:b w:val="1"/>
          <w:bCs w:val="1"/>
          <w:color w:val="auto"/>
        </w:rPr>
        <w:t>(CUSIP Number of Class of Securities)</w:t>
      </w:r>
    </w:p>
    <w:p>
      <w:pPr>
        <w:spacing w:after="0" w:line="76" w:lineRule="exact"/>
        <w:rPr>
          <w:sz w:val="24"/>
          <w:szCs w:val="24"/>
          <w:color w:val="auto"/>
        </w:rPr>
      </w:pPr>
    </w:p>
    <w:p>
      <w:pPr>
        <w:jc w:val="center"/>
        <w:ind w:right="-8"/>
        <w:spacing w:after="0"/>
        <w:rPr>
          <w:sz w:val="20"/>
          <w:szCs w:val="20"/>
          <w:color w:val="auto"/>
        </w:rPr>
      </w:pPr>
      <w:r>
        <w:rPr>
          <w:rFonts w:ascii="Times New Roman" w:cs="Times New Roman" w:eastAsia="Times New Roman" w:hAnsi="Times New Roman"/>
          <w:sz w:val="15"/>
          <w:szCs w:val="15"/>
          <w:color w:val="auto"/>
        </w:rPr>
        <w:t>Jesse Lynn, Esq.</w:t>
      </w:r>
    </w:p>
    <w:p>
      <w:pPr>
        <w:spacing w:after="0" w:line="26" w:lineRule="exact"/>
        <w:rPr>
          <w:sz w:val="24"/>
          <w:szCs w:val="24"/>
          <w:color w:val="auto"/>
        </w:rPr>
      </w:pPr>
    </w:p>
    <w:p>
      <w:pPr>
        <w:jc w:val="center"/>
        <w:ind w:right="-8"/>
        <w:spacing w:after="0"/>
        <w:rPr>
          <w:sz w:val="20"/>
          <w:szCs w:val="20"/>
          <w:color w:val="auto"/>
        </w:rPr>
      </w:pPr>
      <w:r>
        <w:rPr>
          <w:rFonts w:ascii="Times New Roman" w:cs="Times New Roman" w:eastAsia="Times New Roman" w:hAnsi="Times New Roman"/>
          <w:sz w:val="15"/>
          <w:szCs w:val="15"/>
          <w:color w:val="auto"/>
        </w:rPr>
        <w:t>Icahn Enterprises L.P.</w:t>
      </w:r>
    </w:p>
    <w:p>
      <w:pPr>
        <w:spacing w:after="0" w:line="19" w:lineRule="exact"/>
        <w:rPr>
          <w:sz w:val="24"/>
          <w:szCs w:val="24"/>
          <w:color w:val="auto"/>
        </w:rPr>
      </w:pPr>
    </w:p>
    <w:p>
      <w:pPr>
        <w:jc w:val="center"/>
        <w:ind w:right="-8"/>
        <w:spacing w:after="0"/>
        <w:rPr>
          <w:sz w:val="20"/>
          <w:szCs w:val="20"/>
          <w:color w:val="auto"/>
        </w:rPr>
      </w:pPr>
      <w:r>
        <w:rPr>
          <w:rFonts w:ascii="Times New Roman" w:cs="Times New Roman" w:eastAsia="Times New Roman" w:hAnsi="Times New Roman"/>
          <w:sz w:val="15"/>
          <w:szCs w:val="15"/>
          <w:color w:val="auto"/>
        </w:rPr>
        <w:t>16690 Collins Avenue, Suite PH-1</w:t>
      </w:r>
    </w:p>
    <w:p>
      <w:pPr>
        <w:spacing w:after="0" w:line="19" w:lineRule="exact"/>
        <w:rPr>
          <w:sz w:val="24"/>
          <w:szCs w:val="24"/>
          <w:color w:val="auto"/>
        </w:rPr>
      </w:pPr>
    </w:p>
    <w:p>
      <w:pPr>
        <w:jc w:val="center"/>
        <w:ind w:right="-8"/>
        <w:spacing w:after="0"/>
        <w:rPr>
          <w:sz w:val="20"/>
          <w:szCs w:val="20"/>
          <w:color w:val="auto"/>
        </w:rPr>
      </w:pPr>
      <w:r>
        <w:rPr>
          <w:rFonts w:ascii="Times New Roman" w:cs="Times New Roman" w:eastAsia="Times New Roman" w:hAnsi="Times New Roman"/>
          <w:sz w:val="15"/>
          <w:szCs w:val="15"/>
          <w:color w:val="auto"/>
        </w:rPr>
        <w:t>Sunny Isles Beach, FL 33160</w:t>
      </w:r>
    </w:p>
    <w:p>
      <w:pPr>
        <w:spacing w:after="0" w:line="19" w:lineRule="exact"/>
        <w:rPr>
          <w:sz w:val="24"/>
          <w:szCs w:val="24"/>
          <w:color w:val="auto"/>
        </w:rPr>
      </w:pPr>
    </w:p>
    <w:p>
      <w:pPr>
        <w:jc w:val="center"/>
        <w:ind w:right="-8"/>
        <w:spacing w:after="0"/>
        <w:rPr>
          <w:sz w:val="20"/>
          <w:szCs w:val="20"/>
          <w:color w:val="auto"/>
        </w:rPr>
      </w:pPr>
      <w:r>
        <w:rPr>
          <w:rFonts w:ascii="Times New Roman" w:cs="Times New Roman" w:eastAsia="Times New Roman" w:hAnsi="Times New Roman"/>
          <w:sz w:val="15"/>
          <w:szCs w:val="15"/>
          <w:color w:val="auto"/>
        </w:rPr>
        <w:t>(305) 422-4100</w:t>
      </w:r>
    </w:p>
    <w:p>
      <w:pPr>
        <w:spacing w:after="0" w:line="102" w:lineRule="exact"/>
        <w:rPr>
          <w:sz w:val="24"/>
          <w:szCs w:val="24"/>
          <w:color w:val="auto"/>
        </w:rPr>
      </w:pPr>
    </w:p>
    <w:p>
      <w:pPr>
        <w:jc w:val="center"/>
        <w:ind w:right="-8"/>
        <w:spacing w:after="0"/>
        <w:rPr>
          <w:sz w:val="20"/>
          <w:szCs w:val="20"/>
          <w:color w:val="auto"/>
        </w:rPr>
      </w:pPr>
      <w:r>
        <w:rPr>
          <w:rFonts w:ascii="Times New Roman" w:cs="Times New Roman" w:eastAsia="Times New Roman" w:hAnsi="Times New Roman"/>
          <w:sz w:val="14"/>
          <w:szCs w:val="14"/>
          <w:b w:val="1"/>
          <w:bCs w:val="1"/>
          <w:color w:val="auto"/>
        </w:rPr>
        <w:t>(Name, Address, and Telephone Number of Person Authorized to Receive Notices and Communications on Behalf of Filing Persons)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2612390</wp:posOffset>
            </wp:positionH>
            <wp:positionV relativeFrom="paragraph">
              <wp:posOffset>140335</wp:posOffset>
            </wp:positionV>
            <wp:extent cx="139573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395730" cy="8255"/>
                    </a:xfrm>
                    <a:prstGeom prst="rect">
                      <a:avLst/>
                    </a:prstGeom>
                    <a:noFill/>
                  </pic:spPr>
                </pic:pic>
              </a:graphicData>
            </a:graphic>
          </wp:anchor>
        </w:drawing>
      </w:r>
    </w:p>
    <w:p>
      <w:pPr>
        <w:spacing w:after="0" w:line="300" w:lineRule="exact"/>
        <w:rPr>
          <w:sz w:val="24"/>
          <w:szCs w:val="24"/>
          <w:color w:val="auto"/>
        </w:rPr>
      </w:pPr>
    </w:p>
    <w:tbl>
      <w:tblPr>
        <w:tblLayout w:type="fixed"/>
        <w:tblInd w:w="19" w:type="dxa"/>
        <w:tblCellMar>
          <w:top w:w="0" w:type="dxa"/>
          <w:left w:w="0" w:type="dxa"/>
          <w:bottom w:w="0" w:type="dxa"/>
          <w:right w:w="0" w:type="dxa"/>
        </w:tblCellMar>
      </w:tblPr>
      <w:tr>
        <w:trPr>
          <w:trHeight w:val="203"/>
        </w:trPr>
        <w:tc>
          <w:tcPr>
            <w:tcW w:w="3680" w:type="dxa"/>
            <w:vAlign w:val="bottom"/>
          </w:tcPr>
          <w:p>
            <w:pPr>
              <w:spacing w:after="0"/>
              <w:rPr>
                <w:sz w:val="17"/>
                <w:szCs w:val="17"/>
                <w:color w:val="auto"/>
              </w:rPr>
            </w:pPr>
          </w:p>
        </w:tc>
        <w:tc>
          <w:tcPr>
            <w:tcW w:w="6760" w:type="dxa"/>
            <w:vAlign w:val="bottom"/>
            <w:gridSpan w:val="2"/>
          </w:tcPr>
          <w:p>
            <w:pPr>
              <w:ind w:left="360"/>
              <w:spacing w:after="0"/>
              <w:rPr>
                <w:sz w:val="20"/>
                <w:szCs w:val="20"/>
                <w:color w:val="auto"/>
              </w:rPr>
            </w:pPr>
            <w:r>
              <w:rPr>
                <w:rFonts w:ascii="Times New Roman" w:cs="Times New Roman" w:eastAsia="Times New Roman" w:hAnsi="Times New Roman"/>
                <w:sz w:val="15"/>
                <w:szCs w:val="15"/>
                <w:b w:val="1"/>
                <w:bCs w:val="1"/>
                <w:color w:val="auto"/>
              </w:rPr>
              <w:t>CALCULATION OF FILING FEE</w:t>
            </w:r>
          </w:p>
        </w:tc>
      </w:tr>
      <w:tr>
        <w:trPr>
          <w:trHeight w:val="120"/>
        </w:trPr>
        <w:tc>
          <w:tcPr>
            <w:tcW w:w="3680" w:type="dxa"/>
            <w:vAlign w:val="bottom"/>
            <w:tcBorders>
              <w:bottom w:val="single" w:sz="8" w:color="auto"/>
            </w:tcBorders>
          </w:tcPr>
          <w:p>
            <w:pPr>
              <w:spacing w:after="0"/>
              <w:rPr>
                <w:sz w:val="10"/>
                <w:szCs w:val="10"/>
                <w:color w:val="auto"/>
              </w:rPr>
            </w:pPr>
          </w:p>
        </w:tc>
        <w:tc>
          <w:tcPr>
            <w:tcW w:w="1440" w:type="dxa"/>
            <w:vAlign w:val="bottom"/>
            <w:tcBorders>
              <w:bottom w:val="single" w:sz="8" w:color="auto"/>
            </w:tcBorders>
          </w:tcPr>
          <w:p>
            <w:pPr>
              <w:spacing w:after="0"/>
              <w:rPr>
                <w:sz w:val="10"/>
                <w:szCs w:val="10"/>
                <w:color w:val="auto"/>
              </w:rPr>
            </w:pPr>
          </w:p>
        </w:tc>
        <w:tc>
          <w:tcPr>
            <w:tcW w:w="5320" w:type="dxa"/>
            <w:vAlign w:val="bottom"/>
            <w:tcBorders>
              <w:bottom w:val="single" w:sz="8" w:color="auto"/>
            </w:tcBorders>
          </w:tcPr>
          <w:p>
            <w:pPr>
              <w:spacing w:after="0"/>
              <w:rPr>
                <w:sz w:val="10"/>
                <w:szCs w:val="10"/>
                <w:color w:val="auto"/>
              </w:rPr>
            </w:pPr>
          </w:p>
        </w:tc>
      </w:tr>
      <w:tr>
        <w:trPr>
          <w:trHeight w:val="133"/>
        </w:trPr>
        <w:tc>
          <w:tcPr>
            <w:tcW w:w="3680" w:type="dxa"/>
            <w:vAlign w:val="bottom"/>
            <w:tcBorders>
              <w:left w:val="single" w:sz="8" w:color="auto"/>
              <w:bottom w:val="single" w:sz="8" w:color="auto"/>
            </w:tcBorders>
          </w:tcPr>
          <w:p>
            <w:pPr>
              <w:jc w:val="center"/>
              <w:ind w:left="1488"/>
              <w:spacing w:after="0" w:line="133" w:lineRule="exact"/>
              <w:rPr>
                <w:sz w:val="20"/>
                <w:szCs w:val="20"/>
                <w:color w:val="auto"/>
              </w:rPr>
            </w:pPr>
            <w:r>
              <w:rPr>
                <w:rFonts w:ascii="Times New Roman" w:cs="Times New Roman" w:eastAsia="Times New Roman" w:hAnsi="Times New Roman"/>
                <w:sz w:val="14"/>
                <w:szCs w:val="14"/>
                <w:b w:val="1"/>
                <w:bCs w:val="1"/>
                <w:color w:val="auto"/>
                <w:w w:val="95"/>
              </w:rPr>
              <w:t>Transaction Valuation*</w:t>
            </w:r>
          </w:p>
        </w:tc>
        <w:tc>
          <w:tcPr>
            <w:tcW w:w="1440" w:type="dxa"/>
            <w:vAlign w:val="bottom"/>
            <w:tcBorders>
              <w:bottom w:val="single" w:sz="8" w:color="auto"/>
              <w:right w:val="single" w:sz="8" w:color="auto"/>
            </w:tcBorders>
          </w:tcPr>
          <w:p>
            <w:pPr>
              <w:spacing w:after="0"/>
              <w:rPr>
                <w:sz w:val="11"/>
                <w:szCs w:val="11"/>
                <w:color w:val="auto"/>
              </w:rPr>
            </w:pPr>
          </w:p>
        </w:tc>
        <w:tc>
          <w:tcPr>
            <w:tcW w:w="5320" w:type="dxa"/>
            <w:vAlign w:val="bottom"/>
            <w:tcBorders>
              <w:bottom w:val="single" w:sz="8" w:color="auto"/>
              <w:right w:val="single" w:sz="8" w:color="auto"/>
            </w:tcBorders>
          </w:tcPr>
          <w:p>
            <w:pPr>
              <w:jc w:val="center"/>
              <w:spacing w:after="0" w:line="133" w:lineRule="exact"/>
              <w:rPr>
                <w:sz w:val="20"/>
                <w:szCs w:val="20"/>
                <w:color w:val="auto"/>
              </w:rPr>
            </w:pPr>
            <w:r>
              <w:rPr>
                <w:rFonts w:ascii="Times New Roman" w:cs="Times New Roman" w:eastAsia="Times New Roman" w:hAnsi="Times New Roman"/>
                <w:sz w:val="14"/>
                <w:szCs w:val="14"/>
                <w:b w:val="1"/>
                <w:bCs w:val="1"/>
                <w:color w:val="auto"/>
                <w:w w:val="97"/>
              </w:rPr>
              <w:t>Amount of Filing Fee**</w:t>
            </w:r>
          </w:p>
        </w:tc>
      </w:tr>
      <w:tr>
        <w:trPr>
          <w:trHeight w:val="184"/>
        </w:trPr>
        <w:tc>
          <w:tcPr>
            <w:tcW w:w="3680" w:type="dxa"/>
            <w:vAlign w:val="bottom"/>
            <w:tcBorders>
              <w:left w:val="single" w:sz="8" w:color="auto"/>
              <w:bottom w:val="single" w:sz="8" w:color="auto"/>
            </w:tcBorders>
          </w:tcPr>
          <w:p>
            <w:pPr>
              <w:jc w:val="right"/>
              <w:ind w:right="408"/>
              <w:spacing w:after="0"/>
              <w:rPr>
                <w:sz w:val="20"/>
                <w:szCs w:val="20"/>
                <w:color w:val="auto"/>
              </w:rPr>
            </w:pPr>
            <w:r>
              <w:rPr>
                <w:rFonts w:ascii="Times New Roman" w:cs="Times New Roman" w:eastAsia="Times New Roman" w:hAnsi="Times New Roman"/>
                <w:sz w:val="15"/>
                <w:szCs w:val="15"/>
                <w:color w:val="auto"/>
              </w:rPr>
              <w:t>$4,748,178,187.50</w:t>
            </w:r>
          </w:p>
        </w:tc>
        <w:tc>
          <w:tcPr>
            <w:tcW w:w="1440" w:type="dxa"/>
            <w:vAlign w:val="bottom"/>
            <w:tcBorders>
              <w:bottom w:val="single" w:sz="8" w:color="auto"/>
              <w:right w:val="single" w:sz="8" w:color="auto"/>
            </w:tcBorders>
          </w:tcPr>
          <w:p>
            <w:pPr>
              <w:spacing w:after="0"/>
              <w:rPr>
                <w:sz w:val="16"/>
                <w:szCs w:val="16"/>
                <w:color w:val="auto"/>
              </w:rPr>
            </w:pPr>
          </w:p>
        </w:tc>
        <w:tc>
          <w:tcPr>
            <w:tcW w:w="5320" w:type="dxa"/>
            <w:vAlign w:val="bottom"/>
            <w:tcBorders>
              <w:bottom w:val="single" w:sz="8" w:color="auto"/>
              <w:right w:val="single" w:sz="8" w:color="auto"/>
            </w:tcBorders>
          </w:tcPr>
          <w:p>
            <w:pPr>
              <w:jc w:val="right"/>
              <w:ind w:right="2288"/>
              <w:spacing w:after="0"/>
              <w:rPr>
                <w:sz w:val="20"/>
                <w:szCs w:val="20"/>
                <w:color w:val="auto"/>
              </w:rPr>
            </w:pPr>
            <w:r>
              <w:rPr>
                <w:rFonts w:ascii="Times New Roman" w:cs="Times New Roman" w:eastAsia="Times New Roman" w:hAnsi="Times New Roman"/>
                <w:sz w:val="15"/>
                <w:szCs w:val="15"/>
                <w:color w:val="auto"/>
              </w:rPr>
              <w:t>$440,157</w:t>
            </w:r>
          </w:p>
        </w:tc>
      </w:tr>
    </w:tbl>
    <w:p>
      <w:pPr>
        <w:spacing w:after="0" w:line="1" w:lineRule="exact"/>
        <w:rPr>
          <w:sz w:val="24"/>
          <w:szCs w:val="24"/>
          <w:color w:val="auto"/>
        </w:rPr>
      </w:pPr>
    </w:p>
    <w:p>
      <w:pPr>
        <w:jc w:val="both"/>
        <w:ind w:left="409" w:right="80" w:hanging="409"/>
        <w:spacing w:after="0" w:line="269" w:lineRule="auto"/>
        <w:tabs>
          <w:tab w:leader="none" w:pos="409" w:val="left"/>
        </w:tabs>
        <w:numPr>
          <w:ilvl w:val="0"/>
          <w:numId w:val="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calculation of the Transaction Valuation is based on 60,452,351 Shares outstanding as of February 15, 2022, as disclosed by Southwest Gas Holdings, Inc. in its Annual Report on Form 10-K for the period ended December 31, 2021, as filed with the Securities and Exchange Commission (the “</w:t>
      </w:r>
      <w:r>
        <w:rPr>
          <w:rFonts w:ascii="Times New Roman" w:cs="Times New Roman" w:eastAsia="Times New Roman" w:hAnsi="Times New Roman"/>
          <w:sz w:val="15"/>
          <w:szCs w:val="15"/>
          <w:u w:val="single" w:color="auto"/>
          <w:color w:val="auto"/>
        </w:rPr>
        <w:t>SEC</w:t>
      </w:r>
      <w:r>
        <w:rPr>
          <w:rFonts w:ascii="Times New Roman" w:cs="Times New Roman" w:eastAsia="Times New Roman" w:hAnsi="Times New Roman"/>
          <w:sz w:val="15"/>
          <w:szCs w:val="15"/>
          <w:color w:val="auto"/>
        </w:rPr>
        <w:t>”) on March 1, 2022. Estimated solely for purposes of calculating the filing fee pursuant to Rule 0-11(d) under the Securities Exchange Act of 1934, as amended (the “</w:t>
      </w:r>
      <w:r>
        <w:rPr>
          <w:rFonts w:ascii="Times New Roman" w:cs="Times New Roman" w:eastAsia="Times New Roman" w:hAnsi="Times New Roman"/>
          <w:sz w:val="15"/>
          <w:szCs w:val="15"/>
          <w:u w:val="single" w:color="auto"/>
          <w:color w:val="auto"/>
        </w:rPr>
        <w:t>Exchange Act</w:t>
      </w:r>
      <w:r>
        <w:rPr>
          <w:rFonts w:ascii="Times New Roman" w:cs="Times New Roman" w:eastAsia="Times New Roman" w:hAnsi="Times New Roman"/>
          <w:sz w:val="15"/>
          <w:szCs w:val="15"/>
          <w:color w:val="auto"/>
        </w:rPr>
        <w:t>”).</w:t>
      </w:r>
    </w:p>
    <w:p>
      <w:pPr>
        <w:spacing w:after="0" w:line="2" w:lineRule="exact"/>
        <w:rPr>
          <w:sz w:val="24"/>
          <w:szCs w:val="24"/>
          <w:color w:val="auto"/>
        </w:rPr>
      </w:pPr>
    </w:p>
    <w:p>
      <w:pPr>
        <w:jc w:val="both"/>
        <w:ind w:left="409" w:right="200"/>
        <w:spacing w:after="0" w:line="266" w:lineRule="auto"/>
        <w:rPr>
          <w:sz w:val="20"/>
          <w:szCs w:val="20"/>
          <w:color w:val="auto"/>
        </w:rPr>
      </w:pPr>
      <w:r>
        <w:rPr>
          <w:rFonts w:ascii="Times New Roman" w:cs="Times New Roman" w:eastAsia="Times New Roman" w:hAnsi="Times New Roman"/>
          <w:sz w:val="15"/>
          <w:szCs w:val="15"/>
          <w:color w:val="auto"/>
        </w:rPr>
        <w:t>The Transaction Valuation reflects the product of (A) 57,553,675, which is the total number of shares of common stock, $1.00 par value per share, of Southwest Gas Holdings, Inc. outstanding (the “</w:t>
      </w:r>
      <w:r>
        <w:rPr>
          <w:rFonts w:ascii="Times New Roman" w:cs="Times New Roman" w:eastAsia="Times New Roman" w:hAnsi="Times New Roman"/>
          <w:sz w:val="15"/>
          <w:szCs w:val="15"/>
          <w:u w:val="single" w:color="auto"/>
          <w:color w:val="auto"/>
        </w:rPr>
        <w:t>Shares</w:t>
      </w:r>
      <w:r>
        <w:rPr>
          <w:rFonts w:ascii="Times New Roman" w:cs="Times New Roman" w:eastAsia="Times New Roman" w:hAnsi="Times New Roman"/>
          <w:sz w:val="15"/>
          <w:szCs w:val="15"/>
          <w:color w:val="auto"/>
        </w:rPr>
        <w:t>”), which are not beneficially owned by affiliates of IEP Utility Holdings LLC (calculated as the difference between 60,452,351, the total number of outstanding Shares, and 2,898,676, the number of Shares that are beneficially owned by affiliates of IEP Utility Holdings LLC) and (B) $82.50, which is the per Share tender offer price.</w:t>
      </w:r>
    </w:p>
    <w:p>
      <w:pPr>
        <w:spacing w:after="0" w:line="2" w:lineRule="exact"/>
        <w:rPr>
          <w:sz w:val="24"/>
          <w:szCs w:val="24"/>
          <w:color w:val="auto"/>
        </w:rPr>
      </w:pPr>
    </w:p>
    <w:p>
      <w:pPr>
        <w:ind w:left="409" w:right="60" w:hanging="409"/>
        <w:spacing w:after="0" w:line="293" w:lineRule="auto"/>
        <w:tabs>
          <w:tab w:leader="none" w:pos="409" w:val="left"/>
        </w:tabs>
        <w:numPr>
          <w:ilvl w:val="0"/>
          <w:numId w:val="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amount of the filing fee was calculated in accordance with Rule 0-11 of the Exchange Act and Fee Rate Advisory # 1 for Fiscal Year 2022 issued by the SEC, by multiplying the Transaction Valuation by 0.0000927.</w:t>
      </w:r>
    </w:p>
    <w:p>
      <w:pPr>
        <w:spacing w:after="0" w:line="70" w:lineRule="exact"/>
        <w:rPr>
          <w:sz w:val="24"/>
          <w:szCs w:val="24"/>
          <w:color w:val="auto"/>
        </w:rPr>
      </w:pPr>
    </w:p>
    <w:p>
      <w:pPr>
        <w:ind w:left="409" w:right="180" w:hanging="409"/>
        <w:spacing w:after="0" w:line="302" w:lineRule="auto"/>
        <w:tabs>
          <w:tab w:leader="none" w:pos="409" w:val="left"/>
        </w:tabs>
        <w:numPr>
          <w:ilvl w:val="0"/>
          <w:numId w:val="3"/>
        </w:numPr>
        <w:rPr>
          <w:rFonts w:ascii="MS PGothic" w:cs="MS PGothic" w:eastAsia="MS PGothic" w:hAnsi="MS PGothic"/>
          <w:sz w:val="15"/>
          <w:szCs w:val="15"/>
          <w:color w:val="auto"/>
        </w:rPr>
      </w:pPr>
      <w:r>
        <w:rPr>
          <w:rFonts w:ascii="Times New Roman" w:cs="Times New Roman" w:eastAsia="Times New Roman" w:hAnsi="Times New Roman"/>
          <w:sz w:val="15"/>
          <w:szCs w:val="15"/>
          <w:color w:val="auto"/>
        </w:rPr>
        <w:t>Check the box if any part of the fee is offset as provided by Rule 0-11(a)(2) and identify the filing with which the offsetting fee was previously paid. Identify the previous filing by registration statement number, or the Form or Schedule and the date of its filing.</w:t>
      </w:r>
    </w:p>
    <w:p>
      <w:pPr>
        <w:spacing w:after="0" w:line="76" w:lineRule="exact"/>
        <w:rPr>
          <w:sz w:val="24"/>
          <w:szCs w:val="24"/>
          <w:color w:val="auto"/>
        </w:rPr>
      </w:pPr>
    </w:p>
    <w:tbl>
      <w:tblPr>
        <w:tblLayout w:type="fixed"/>
        <w:tblInd w:w="829" w:type="dxa"/>
        <w:tblCellMar>
          <w:top w:w="0" w:type="dxa"/>
          <w:left w:w="0" w:type="dxa"/>
          <w:bottom w:w="0" w:type="dxa"/>
          <w:right w:w="0" w:type="dxa"/>
        </w:tblCellMar>
      </w:tblPr>
      <w:tr>
        <w:trPr>
          <w:trHeight w:val="192"/>
        </w:trPr>
        <w:tc>
          <w:tcPr>
            <w:tcW w:w="20" w:type="dxa"/>
            <w:vAlign w:val="bottom"/>
          </w:tcPr>
          <w:p>
            <w:pPr>
              <w:spacing w:after="0"/>
              <w:rPr>
                <w:sz w:val="16"/>
                <w:szCs w:val="16"/>
                <w:color w:val="auto"/>
              </w:rPr>
            </w:pPr>
          </w:p>
        </w:tc>
        <w:tc>
          <w:tcPr>
            <w:tcW w:w="166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Amount Previously Paid:</w:t>
            </w:r>
          </w:p>
        </w:tc>
        <w:tc>
          <w:tcPr>
            <w:tcW w:w="19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5"/>
                <w:szCs w:val="15"/>
                <w:color w:val="auto"/>
              </w:rPr>
              <w:t>$440,157</w:t>
            </w:r>
          </w:p>
        </w:tc>
        <w:tc>
          <w:tcPr>
            <w:tcW w:w="1960" w:type="dxa"/>
            <w:vAlign w:val="bottom"/>
            <w:shd w:val="clear" w:color="auto" w:fill="CCEEFF"/>
          </w:tcPr>
          <w:p>
            <w:pPr>
              <w:ind w:left="1100"/>
              <w:spacing w:after="0"/>
              <w:rPr>
                <w:sz w:val="20"/>
                <w:szCs w:val="20"/>
                <w:color w:val="auto"/>
              </w:rPr>
            </w:pPr>
            <w:r>
              <w:rPr>
                <w:rFonts w:ascii="Times New Roman" w:cs="Times New Roman" w:eastAsia="Times New Roman" w:hAnsi="Times New Roman"/>
                <w:sz w:val="15"/>
                <w:szCs w:val="15"/>
                <w:color w:val="auto"/>
              </w:rPr>
              <w:t>Filing Party:</w:t>
            </w:r>
          </w:p>
        </w:tc>
        <w:tc>
          <w:tcPr>
            <w:tcW w:w="31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5"/>
                <w:szCs w:val="15"/>
                <w:color w:val="auto"/>
              </w:rPr>
              <w:t>IEP Utility Holdings LLC</w:t>
            </w:r>
          </w:p>
        </w:tc>
      </w:tr>
      <w:tr>
        <w:trPr>
          <w:trHeight w:val="199"/>
        </w:trPr>
        <w:tc>
          <w:tcPr>
            <w:tcW w:w="20" w:type="dxa"/>
            <w:vAlign w:val="bottom"/>
          </w:tcPr>
          <w:p>
            <w:pPr>
              <w:spacing w:after="0"/>
              <w:rPr>
                <w:sz w:val="17"/>
                <w:szCs w:val="17"/>
                <w:color w:val="auto"/>
              </w:rPr>
            </w:pPr>
          </w:p>
        </w:tc>
        <w:tc>
          <w:tcPr>
            <w:tcW w:w="1660" w:type="dxa"/>
            <w:vAlign w:val="bottom"/>
          </w:tcPr>
          <w:p>
            <w:pPr>
              <w:spacing w:after="0"/>
              <w:rPr>
                <w:sz w:val="20"/>
                <w:szCs w:val="20"/>
                <w:color w:val="auto"/>
              </w:rPr>
            </w:pPr>
            <w:r>
              <w:rPr>
                <w:rFonts w:ascii="Times New Roman" w:cs="Times New Roman" w:eastAsia="Times New Roman" w:hAnsi="Times New Roman"/>
                <w:sz w:val="15"/>
                <w:szCs w:val="15"/>
                <w:color w:val="auto"/>
              </w:rPr>
              <w:t>Form of Registration No.:</w:t>
            </w:r>
          </w:p>
        </w:tc>
        <w:tc>
          <w:tcPr>
            <w:tcW w:w="1960" w:type="dxa"/>
            <w:vAlign w:val="bottom"/>
          </w:tcPr>
          <w:p>
            <w:pPr>
              <w:ind w:left="80"/>
              <w:spacing w:after="0"/>
              <w:rPr>
                <w:sz w:val="20"/>
                <w:szCs w:val="20"/>
                <w:color w:val="auto"/>
              </w:rPr>
            </w:pPr>
            <w:r>
              <w:rPr>
                <w:rFonts w:ascii="Times New Roman" w:cs="Times New Roman" w:eastAsia="Times New Roman" w:hAnsi="Times New Roman"/>
                <w:sz w:val="15"/>
                <w:szCs w:val="15"/>
                <w:color w:val="auto"/>
              </w:rPr>
              <w:t>Schedule TO</w:t>
            </w:r>
          </w:p>
        </w:tc>
        <w:tc>
          <w:tcPr>
            <w:tcW w:w="1960" w:type="dxa"/>
            <w:vAlign w:val="bottom"/>
          </w:tcPr>
          <w:p>
            <w:pPr>
              <w:ind w:left="1100"/>
              <w:spacing w:after="0"/>
              <w:rPr>
                <w:sz w:val="20"/>
                <w:szCs w:val="20"/>
                <w:color w:val="auto"/>
              </w:rPr>
            </w:pPr>
            <w:r>
              <w:rPr>
                <w:rFonts w:ascii="Times New Roman" w:cs="Times New Roman" w:eastAsia="Times New Roman" w:hAnsi="Times New Roman"/>
                <w:sz w:val="15"/>
                <w:szCs w:val="15"/>
                <w:color w:val="auto"/>
              </w:rPr>
              <w:t>Date Filed:</w:t>
            </w:r>
          </w:p>
        </w:tc>
        <w:tc>
          <w:tcPr>
            <w:tcW w:w="3160" w:type="dxa"/>
            <w:vAlign w:val="bottom"/>
          </w:tcPr>
          <w:p>
            <w:pPr>
              <w:ind w:left="80"/>
              <w:spacing w:after="0"/>
              <w:rPr>
                <w:sz w:val="20"/>
                <w:szCs w:val="20"/>
                <w:color w:val="auto"/>
              </w:rPr>
            </w:pPr>
            <w:r>
              <w:rPr>
                <w:rFonts w:ascii="Times New Roman" w:cs="Times New Roman" w:eastAsia="Times New Roman" w:hAnsi="Times New Roman"/>
                <w:sz w:val="15"/>
                <w:szCs w:val="15"/>
                <w:color w:val="auto"/>
              </w:rPr>
              <w:t>March 14, 2022</w:t>
            </w:r>
          </w:p>
        </w:tc>
      </w:tr>
    </w:tbl>
    <w:p>
      <w:pPr>
        <w:spacing w:after="0" w:line="96" w:lineRule="exact"/>
        <w:rPr>
          <w:sz w:val="24"/>
          <w:szCs w:val="24"/>
          <w:color w:val="auto"/>
        </w:rPr>
      </w:pPr>
    </w:p>
    <w:p>
      <w:pPr>
        <w:ind w:left="829" w:right="2500" w:hanging="829"/>
        <w:spacing w:after="0" w:line="399" w:lineRule="auto"/>
        <w:tabs>
          <w:tab w:leader="none" w:pos="404" w:val="left"/>
        </w:tabs>
        <w:numPr>
          <w:ilvl w:val="0"/>
          <w:numId w:val="4"/>
        </w:numPr>
        <w:rPr>
          <w:rFonts w:ascii="MS PGothic" w:cs="MS PGothic" w:eastAsia="MS PGothic" w:hAnsi="MS PGothic"/>
          <w:sz w:val="15"/>
          <w:szCs w:val="15"/>
          <w:color w:val="auto"/>
        </w:rPr>
      </w:pPr>
      <w:r>
        <w:rPr>
          <w:rFonts w:ascii="Times New Roman" w:cs="Times New Roman" w:eastAsia="Times New Roman" w:hAnsi="Times New Roman"/>
          <w:sz w:val="15"/>
          <w:szCs w:val="15"/>
          <w:color w:val="auto"/>
        </w:rPr>
        <w:t>Check the box if the filing relates solely to preliminary communications made before the commencement of a tender offer. Check the appropriate boxes below to designate any transactions to which the statement relates:</w:t>
      </w:r>
    </w:p>
    <w:p>
      <w:pPr>
        <w:spacing w:after="0" w:line="27" w:lineRule="exact"/>
        <w:rPr>
          <w:sz w:val="24"/>
          <w:szCs w:val="24"/>
          <w:color w:val="auto"/>
        </w:rPr>
      </w:pPr>
    </w:p>
    <w:p>
      <w:pPr>
        <w:ind w:left="1249" w:right="6020" w:hanging="10"/>
        <w:spacing w:after="0" w:line="200" w:lineRule="exact"/>
        <w:tabs>
          <w:tab w:leader="none" w:pos="1658" w:val="left"/>
        </w:tabs>
        <w:numPr>
          <w:ilvl w:val="0"/>
          <w:numId w:val="5"/>
        </w:numPr>
        <w:rPr>
          <w:rFonts w:ascii="MS PGothic" w:cs="MS PGothic" w:eastAsia="MS PGothic" w:hAnsi="MS PGothic"/>
          <w:sz w:val="15"/>
          <w:szCs w:val="15"/>
          <w:color w:val="auto"/>
        </w:rPr>
      </w:pPr>
      <w:r>
        <w:rPr>
          <w:rFonts w:ascii="Times New Roman" w:cs="Times New Roman" w:eastAsia="Times New Roman" w:hAnsi="Times New Roman"/>
          <w:sz w:val="15"/>
          <w:szCs w:val="15"/>
          <w:color w:val="auto"/>
        </w:rPr>
        <w:t xml:space="preserve">third-party tender offer subject to Rule 14d-1 </w:t>
      </w:r>
      <w:r>
        <w:rPr>
          <w:rFonts w:ascii="MS PGothic" w:cs="MS PGothic" w:eastAsia="MS PGothic" w:hAnsi="MS PGothic"/>
          <w:sz w:val="15"/>
          <w:szCs w:val="15"/>
          <w:color w:val="auto"/>
        </w:rPr>
        <w:t>☐</w:t>
      </w:r>
      <w:r>
        <w:rPr>
          <w:rFonts w:ascii="Times New Roman" w:cs="Times New Roman" w:eastAsia="Times New Roman" w:hAnsi="Times New Roman"/>
          <w:sz w:val="15"/>
          <w:szCs w:val="15"/>
          <w:color w:val="auto"/>
        </w:rPr>
        <w:t xml:space="preserve"> issuer tender offer subject to Rule 13e-4</w:t>
      </w:r>
    </w:p>
    <w:p>
      <w:pPr>
        <w:spacing w:after="0" w:line="1" w:lineRule="exact"/>
        <w:rPr>
          <w:rFonts w:ascii="MS PGothic" w:cs="MS PGothic" w:eastAsia="MS PGothic" w:hAnsi="MS PGothic"/>
          <w:sz w:val="15"/>
          <w:szCs w:val="15"/>
          <w:color w:val="auto"/>
        </w:rPr>
      </w:pPr>
    </w:p>
    <w:p>
      <w:pPr>
        <w:jc w:val="both"/>
        <w:ind w:left="1249" w:right="5900"/>
        <w:spacing w:after="0" w:line="195" w:lineRule="exact"/>
        <w:rPr>
          <w:rFonts w:ascii="MS PGothic" w:cs="MS PGothic" w:eastAsia="MS PGothic" w:hAnsi="MS PGothic"/>
          <w:sz w:val="15"/>
          <w:szCs w:val="15"/>
          <w:color w:val="auto"/>
        </w:rPr>
      </w:pPr>
      <w:r>
        <w:rPr>
          <w:rFonts w:ascii="MS PGothic" w:cs="MS PGothic" w:eastAsia="MS PGothic" w:hAnsi="MS PGothic"/>
          <w:sz w:val="15"/>
          <w:szCs w:val="15"/>
          <w:color w:val="auto"/>
        </w:rPr>
        <w:t>☐</w:t>
      </w:r>
      <w:r>
        <w:rPr>
          <w:rFonts w:ascii="Times New Roman" w:cs="Times New Roman" w:eastAsia="Times New Roman" w:hAnsi="Times New Roman"/>
          <w:sz w:val="15"/>
          <w:szCs w:val="15"/>
          <w:color w:val="auto"/>
        </w:rPr>
        <w:t xml:space="preserve"> going-private transaction subject to Rule 13e-3 </w:t>
      </w:r>
      <w:r>
        <w:rPr>
          <w:rFonts w:ascii="MS PGothic" w:cs="MS PGothic" w:eastAsia="MS PGothic" w:hAnsi="MS PGothic"/>
          <w:sz w:val="15"/>
          <w:szCs w:val="15"/>
          <w:color w:val="auto"/>
        </w:rPr>
        <w:t>☐</w:t>
      </w:r>
      <w:r>
        <w:rPr>
          <w:rFonts w:ascii="Times New Roman" w:cs="Times New Roman" w:eastAsia="Times New Roman" w:hAnsi="Times New Roman"/>
          <w:sz w:val="15"/>
          <w:szCs w:val="15"/>
          <w:color w:val="auto"/>
        </w:rPr>
        <w:t xml:space="preserve"> amendment to Schedule 13D under Rule 13d-2</w:t>
      </w:r>
    </w:p>
    <w:p>
      <w:pPr>
        <w:spacing w:after="0" w:line="54" w:lineRule="exact"/>
        <w:rPr>
          <w:sz w:val="24"/>
          <w:szCs w:val="24"/>
          <w:color w:val="auto"/>
        </w:rPr>
      </w:pPr>
    </w:p>
    <w:p>
      <w:pPr>
        <w:ind w:left="829"/>
        <w:spacing w:after="0" w:line="173" w:lineRule="exact"/>
        <w:rPr>
          <w:sz w:val="20"/>
          <w:szCs w:val="20"/>
          <w:color w:val="auto"/>
        </w:rPr>
      </w:pPr>
      <w:r>
        <w:rPr>
          <w:rFonts w:ascii="Times New Roman" w:cs="Times New Roman" w:eastAsia="Times New Roman" w:hAnsi="Times New Roman"/>
          <w:sz w:val="15"/>
          <w:szCs w:val="15"/>
          <w:color w:val="auto"/>
        </w:rPr>
        <w:t xml:space="preserve">Check the following box if the filing is a final amendment reporting the results of the tender offer. </w:t>
      </w:r>
      <w:r>
        <w:rPr>
          <w:rFonts w:ascii="MS PGothic" w:cs="MS PGothic" w:eastAsia="MS PGothic" w:hAnsi="MS PGothic"/>
          <w:sz w:val="15"/>
          <w:szCs w:val="15"/>
          <w:color w:val="auto"/>
        </w:rPr>
        <w:t>☐</w:t>
      </w:r>
    </w:p>
    <w:p>
      <w:pPr>
        <w:spacing w:after="0" w:line="147" w:lineRule="exact"/>
        <w:rPr>
          <w:sz w:val="24"/>
          <w:szCs w:val="24"/>
          <w:color w:val="auto"/>
        </w:rPr>
      </w:pPr>
    </w:p>
    <w:p>
      <w:pPr>
        <w:ind w:left="829"/>
        <w:spacing w:after="0"/>
        <w:rPr>
          <w:sz w:val="20"/>
          <w:szCs w:val="20"/>
          <w:color w:val="auto"/>
        </w:rPr>
      </w:pPr>
      <w:r>
        <w:rPr>
          <w:rFonts w:ascii="Times New Roman" w:cs="Times New Roman" w:eastAsia="Times New Roman" w:hAnsi="Times New Roman"/>
          <w:sz w:val="15"/>
          <w:szCs w:val="15"/>
          <w:color w:val="auto"/>
        </w:rPr>
        <w:t>If applicable, check the appropriate box(es) below to designate the appropriate rule provision(s) relied upon:</w:t>
      </w:r>
    </w:p>
    <w:p>
      <w:pPr>
        <w:spacing w:after="0" w:line="134" w:lineRule="exact"/>
        <w:rPr>
          <w:sz w:val="24"/>
          <w:szCs w:val="24"/>
          <w:color w:val="auto"/>
        </w:rPr>
      </w:pPr>
    </w:p>
    <w:p>
      <w:pPr>
        <w:ind w:left="1649" w:hanging="410"/>
        <w:spacing w:after="0"/>
        <w:tabs>
          <w:tab w:leader="none" w:pos="1649" w:val="left"/>
        </w:tabs>
        <w:numPr>
          <w:ilvl w:val="0"/>
          <w:numId w:val="6"/>
        </w:numPr>
        <w:rPr>
          <w:rFonts w:ascii="MS PGothic" w:cs="MS PGothic" w:eastAsia="MS PGothic" w:hAnsi="MS PGothic"/>
          <w:sz w:val="15"/>
          <w:szCs w:val="15"/>
          <w:color w:val="auto"/>
        </w:rPr>
      </w:pPr>
      <w:r>
        <w:rPr>
          <w:rFonts w:ascii="Times New Roman" w:cs="Times New Roman" w:eastAsia="Times New Roman" w:hAnsi="Times New Roman"/>
          <w:sz w:val="15"/>
          <w:szCs w:val="15"/>
          <w:color w:val="auto"/>
        </w:rPr>
        <w:t>Rule 13e-4(i) (Cross-Border Issuer Tender Offer)</w:t>
      </w:r>
    </w:p>
    <w:p>
      <w:pPr>
        <w:spacing w:after="0" w:line="35" w:lineRule="exact"/>
        <w:rPr>
          <w:rFonts w:ascii="MS PGothic" w:cs="MS PGothic" w:eastAsia="MS PGothic" w:hAnsi="MS PGothic"/>
          <w:sz w:val="15"/>
          <w:szCs w:val="15"/>
          <w:color w:val="auto"/>
        </w:rPr>
      </w:pPr>
    </w:p>
    <w:p>
      <w:pPr>
        <w:ind w:left="1649" w:hanging="410"/>
        <w:spacing w:after="0"/>
        <w:tabs>
          <w:tab w:leader="none" w:pos="1649" w:val="left"/>
        </w:tabs>
        <w:numPr>
          <w:ilvl w:val="0"/>
          <w:numId w:val="6"/>
        </w:numPr>
        <w:rPr>
          <w:rFonts w:ascii="MS PGothic" w:cs="MS PGothic" w:eastAsia="MS PGothic" w:hAnsi="MS PGothic"/>
          <w:sz w:val="15"/>
          <w:szCs w:val="15"/>
          <w:color w:val="auto"/>
        </w:rPr>
      </w:pPr>
      <w:r>
        <w:rPr>
          <w:rFonts w:ascii="Times New Roman" w:cs="Times New Roman" w:eastAsia="Times New Roman" w:hAnsi="Times New Roman"/>
          <w:sz w:val="15"/>
          <w:szCs w:val="15"/>
          <w:color w:val="auto"/>
        </w:rPr>
        <w:t>Rule 14d-1(d) (Cross-Border Third-Party Tender Offer)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66675</wp:posOffset>
            </wp:positionV>
            <wp:extent cx="662051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62051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107315</wp:posOffset>
            </wp:positionV>
            <wp:extent cx="662051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620510" cy="8255"/>
                    </a:xfrm>
                    <a:prstGeom prst="rect">
                      <a:avLst/>
                    </a:prstGeom>
                    <a:noFill/>
                  </pic:spPr>
                </pic:pic>
              </a:graphicData>
            </a:graphic>
          </wp:anchor>
        </w:drawing>
      </w:r>
    </w:p>
    <w:p>
      <w:pPr>
        <w:sectPr>
          <w:pgSz w:w="11900" w:h="16838" w:orient="portrait"/>
          <w:cols w:equalWidth="0" w:num="1">
            <w:col w:w="10429"/>
          </w:cols>
          <w:pgMar w:left="731" w:top="397" w:right="739" w:bottom="1440" w:gutter="0" w:footer="0" w:header="0"/>
        </w:sectPr>
      </w:pPr>
    </w:p>
    <w:bookmarkStart w:id="1" w:name="page2"/>
    <w:bookmarkEnd w:id="1"/>
    <w:p>
      <w:pPr>
        <w:ind w:firstLine="417"/>
        <w:spacing w:after="0" w:line="253"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191770</wp:posOffset>
            </wp:positionH>
            <wp:positionV relativeFrom="page">
              <wp:posOffset>88900</wp:posOffset>
            </wp:positionV>
            <wp:extent cx="7181215" cy="3683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81215" cy="36830"/>
                    </a:xfrm>
                    <a:prstGeom prst="rect">
                      <a:avLst/>
                    </a:prstGeom>
                    <a:noFill/>
                  </pic:spPr>
                </pic:pic>
              </a:graphicData>
            </a:graphic>
          </wp:anchor>
        </w:drawing>
        <w:t>This Amendment No. 28 (this “</w:t>
      </w:r>
      <w:r>
        <w:rPr>
          <w:rFonts w:ascii="Times New Roman" w:cs="Times New Roman" w:eastAsia="Times New Roman" w:hAnsi="Times New Roman"/>
          <w:sz w:val="17"/>
          <w:szCs w:val="17"/>
          <w:u w:val="single" w:color="auto"/>
          <w:color w:val="auto"/>
        </w:rPr>
        <w:t>Amendment</w:t>
      </w:r>
      <w:r>
        <w:rPr>
          <w:rFonts w:ascii="Times New Roman" w:cs="Times New Roman" w:eastAsia="Times New Roman" w:hAnsi="Times New Roman"/>
          <w:sz w:val="17"/>
          <w:szCs w:val="17"/>
          <w:color w:val="auto"/>
        </w:rPr>
        <w:t>”) amends and supplements the Tender Offer Statement on Schedule TO, originally filed with the Securities and Exchange Commission (the “</w:t>
      </w:r>
      <w:r>
        <w:rPr>
          <w:rFonts w:ascii="Times New Roman" w:cs="Times New Roman" w:eastAsia="Times New Roman" w:hAnsi="Times New Roman"/>
          <w:sz w:val="17"/>
          <w:szCs w:val="17"/>
          <w:u w:val="single" w:color="auto"/>
          <w:color w:val="auto"/>
        </w:rPr>
        <w:t>SEC</w:t>
      </w:r>
      <w:r>
        <w:rPr>
          <w:rFonts w:ascii="Times New Roman" w:cs="Times New Roman" w:eastAsia="Times New Roman" w:hAnsi="Times New Roman"/>
          <w:sz w:val="17"/>
          <w:szCs w:val="17"/>
          <w:color w:val="auto"/>
        </w:rPr>
        <w:t>”) on October 27, 2021 (as hereby amended and supplemented and together with any subsequent amendments and supplements thereto, this “</w:t>
      </w:r>
      <w:r>
        <w:rPr>
          <w:rFonts w:ascii="Times New Roman" w:cs="Times New Roman" w:eastAsia="Times New Roman" w:hAnsi="Times New Roman"/>
          <w:sz w:val="17"/>
          <w:szCs w:val="17"/>
          <w:u w:val="single" w:color="auto"/>
          <w:color w:val="auto"/>
        </w:rPr>
        <w:t>Schedule TO</w:t>
      </w:r>
      <w:r>
        <w:rPr>
          <w:rFonts w:ascii="Times New Roman" w:cs="Times New Roman" w:eastAsia="Times New Roman" w:hAnsi="Times New Roman"/>
          <w:sz w:val="17"/>
          <w:szCs w:val="17"/>
          <w:color w:val="auto"/>
        </w:rPr>
        <w:t>”), which relates to the tender offer by IEP Utility Holdings LLC, a Delaware limited liability company (the “</w:t>
      </w:r>
      <w:r>
        <w:rPr>
          <w:rFonts w:ascii="Times New Roman" w:cs="Times New Roman" w:eastAsia="Times New Roman" w:hAnsi="Times New Roman"/>
          <w:sz w:val="17"/>
          <w:szCs w:val="17"/>
          <w:u w:val="single" w:color="auto"/>
          <w:color w:val="auto"/>
        </w:rPr>
        <w:t>Offeror</w:t>
      </w:r>
      <w:r>
        <w:rPr>
          <w:rFonts w:ascii="Times New Roman" w:cs="Times New Roman" w:eastAsia="Times New Roman" w:hAnsi="Times New Roman"/>
          <w:sz w:val="17"/>
          <w:szCs w:val="17"/>
          <w:color w:val="auto"/>
        </w:rPr>
        <w:t>”), to purchase any and all of the issued and outstanding shares of the common stock, par value $1.00 per share (the “</w:t>
      </w:r>
      <w:r>
        <w:rPr>
          <w:rFonts w:ascii="Times New Roman" w:cs="Times New Roman" w:eastAsia="Times New Roman" w:hAnsi="Times New Roman"/>
          <w:sz w:val="17"/>
          <w:szCs w:val="17"/>
          <w:u w:val="single" w:color="auto"/>
          <w:color w:val="auto"/>
        </w:rPr>
        <w:t>Common</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Stock</w:t>
      </w:r>
      <w:r>
        <w:rPr>
          <w:rFonts w:ascii="Times New Roman" w:cs="Times New Roman" w:eastAsia="Times New Roman" w:hAnsi="Times New Roman"/>
          <w:sz w:val="17"/>
          <w:szCs w:val="17"/>
          <w:color w:val="auto"/>
        </w:rPr>
        <w:t>”), of Southwest Gas Holdings, Inc., a Delaware corporation (the “</w:t>
      </w:r>
      <w:r>
        <w:rPr>
          <w:rFonts w:ascii="Times New Roman" w:cs="Times New Roman" w:eastAsia="Times New Roman" w:hAnsi="Times New Roman"/>
          <w:sz w:val="17"/>
          <w:szCs w:val="17"/>
          <w:u w:val="single" w:color="auto"/>
          <w:color w:val="auto"/>
        </w:rPr>
        <w:t>Company</w:t>
      </w:r>
      <w:r>
        <w:rPr>
          <w:rFonts w:ascii="Times New Roman" w:cs="Times New Roman" w:eastAsia="Times New Roman" w:hAnsi="Times New Roman"/>
          <w:sz w:val="17"/>
          <w:szCs w:val="17"/>
          <w:color w:val="auto"/>
        </w:rPr>
        <w:t>” or “</w:t>
      </w:r>
      <w:r>
        <w:rPr>
          <w:rFonts w:ascii="Times New Roman" w:cs="Times New Roman" w:eastAsia="Times New Roman" w:hAnsi="Times New Roman"/>
          <w:sz w:val="17"/>
          <w:szCs w:val="17"/>
          <w:u w:val="single" w:color="auto"/>
          <w:color w:val="auto"/>
        </w:rPr>
        <w:t>Southwest Gas</w:t>
      </w:r>
      <w:r>
        <w:rPr>
          <w:rFonts w:ascii="Times New Roman" w:cs="Times New Roman" w:eastAsia="Times New Roman" w:hAnsi="Times New Roman"/>
          <w:sz w:val="17"/>
          <w:szCs w:val="17"/>
          <w:color w:val="auto"/>
        </w:rPr>
        <w:t>”), including the associated rights issued pursuant to the Rights Agreement, dated October 10, 2021 (as it may be amended from time to time, the “</w:t>
      </w:r>
      <w:r>
        <w:rPr>
          <w:rFonts w:ascii="Times New Roman" w:cs="Times New Roman" w:eastAsia="Times New Roman" w:hAnsi="Times New Roman"/>
          <w:sz w:val="17"/>
          <w:szCs w:val="17"/>
          <w:u w:val="single" w:color="auto"/>
          <w:color w:val="auto"/>
        </w:rPr>
        <w:t>Rights Agreement</w:t>
      </w:r>
      <w:r>
        <w:rPr>
          <w:rFonts w:ascii="Times New Roman" w:cs="Times New Roman" w:eastAsia="Times New Roman" w:hAnsi="Times New Roman"/>
          <w:sz w:val="17"/>
          <w:szCs w:val="17"/>
          <w:color w:val="auto"/>
        </w:rPr>
        <w:t>”), between the Company and Equiniti Trust Company, as rights agent, that are issued and outstanding (the “</w:t>
      </w:r>
      <w:r>
        <w:rPr>
          <w:rFonts w:ascii="Times New Roman" w:cs="Times New Roman" w:eastAsia="Times New Roman" w:hAnsi="Times New Roman"/>
          <w:sz w:val="17"/>
          <w:szCs w:val="17"/>
          <w:u w:val="single" w:color="auto"/>
          <w:color w:val="auto"/>
        </w:rPr>
        <w:t>Rights</w:t>
      </w:r>
      <w:r>
        <w:rPr>
          <w:rFonts w:ascii="Times New Roman" w:cs="Times New Roman" w:eastAsia="Times New Roman" w:hAnsi="Times New Roman"/>
          <w:sz w:val="17"/>
          <w:szCs w:val="17"/>
          <w:color w:val="auto"/>
        </w:rPr>
        <w:t>” and, together with the Common Stock, the “</w:t>
      </w:r>
      <w:r>
        <w:rPr>
          <w:rFonts w:ascii="Times New Roman" w:cs="Times New Roman" w:eastAsia="Times New Roman" w:hAnsi="Times New Roman"/>
          <w:sz w:val="17"/>
          <w:szCs w:val="17"/>
          <w:u w:val="single" w:color="auto"/>
          <w:color w:val="auto"/>
        </w:rPr>
        <w:t>Shares</w:t>
      </w:r>
      <w:r>
        <w:rPr>
          <w:rFonts w:ascii="Times New Roman" w:cs="Times New Roman" w:eastAsia="Times New Roman" w:hAnsi="Times New Roman"/>
          <w:sz w:val="17"/>
          <w:szCs w:val="17"/>
          <w:color w:val="auto"/>
        </w:rPr>
        <w:t>”), for $82.50 per Share in cash, without interest, less any applicable withholding taxes (the “</w:t>
      </w:r>
      <w:r>
        <w:rPr>
          <w:rFonts w:ascii="Times New Roman" w:cs="Times New Roman" w:eastAsia="Times New Roman" w:hAnsi="Times New Roman"/>
          <w:sz w:val="17"/>
          <w:szCs w:val="17"/>
          <w:u w:val="single" w:color="auto"/>
          <w:color w:val="auto"/>
        </w:rPr>
        <w:t>Offer Price</w:t>
      </w:r>
      <w:r>
        <w:rPr>
          <w:rFonts w:ascii="Times New Roman" w:cs="Times New Roman" w:eastAsia="Times New Roman" w:hAnsi="Times New Roman"/>
          <w:sz w:val="17"/>
          <w:szCs w:val="17"/>
          <w:color w:val="auto"/>
        </w:rPr>
        <w:t>”), upon the terms and subject to the conditions set forth in the Offer to Purchase, dated October 27, 2021 (the “</w:t>
      </w:r>
      <w:r>
        <w:rPr>
          <w:rFonts w:ascii="Times New Roman" w:cs="Times New Roman" w:eastAsia="Times New Roman" w:hAnsi="Times New Roman"/>
          <w:sz w:val="17"/>
          <w:szCs w:val="17"/>
          <w:u w:val="single" w:color="auto"/>
          <w:color w:val="auto"/>
        </w:rPr>
        <w:t>Offer to Purchase</w:t>
      </w:r>
      <w:r>
        <w:rPr>
          <w:rFonts w:ascii="Times New Roman" w:cs="Times New Roman" w:eastAsia="Times New Roman" w:hAnsi="Times New Roman"/>
          <w:sz w:val="17"/>
          <w:szCs w:val="17"/>
          <w:color w:val="auto"/>
        </w:rPr>
        <w:t>”), the related letter of transmittal (the “</w:t>
      </w:r>
      <w:r>
        <w:rPr>
          <w:rFonts w:ascii="Times New Roman" w:cs="Times New Roman" w:eastAsia="Times New Roman" w:hAnsi="Times New Roman"/>
          <w:sz w:val="17"/>
          <w:szCs w:val="17"/>
          <w:u w:val="single" w:color="auto"/>
          <w:color w:val="auto"/>
        </w:rPr>
        <w:t>Letter of Transmittal</w:t>
      </w:r>
      <w:r>
        <w:rPr>
          <w:rFonts w:ascii="Times New Roman" w:cs="Times New Roman" w:eastAsia="Times New Roman" w:hAnsi="Times New Roman"/>
          <w:sz w:val="17"/>
          <w:szCs w:val="17"/>
          <w:color w:val="auto"/>
        </w:rPr>
        <w:t>”), the Notice of Guaranteed Delivery (the “</w:t>
      </w:r>
      <w:r>
        <w:rPr>
          <w:rFonts w:ascii="Times New Roman" w:cs="Times New Roman" w:eastAsia="Times New Roman" w:hAnsi="Times New Roman"/>
          <w:sz w:val="17"/>
          <w:szCs w:val="17"/>
          <w:u w:val="single" w:color="auto"/>
          <w:color w:val="auto"/>
        </w:rPr>
        <w:t>Notice of Guaranteed Delivery</w:t>
      </w:r>
      <w:r>
        <w:rPr>
          <w:rFonts w:ascii="Times New Roman" w:cs="Times New Roman" w:eastAsia="Times New Roman" w:hAnsi="Times New Roman"/>
          <w:sz w:val="17"/>
          <w:szCs w:val="17"/>
          <w:color w:val="auto"/>
        </w:rPr>
        <w:t>”), and the Supplement to the Offer to Purchase (the “</w:t>
      </w:r>
      <w:r>
        <w:rPr>
          <w:rFonts w:ascii="Times New Roman" w:cs="Times New Roman" w:eastAsia="Times New Roman" w:hAnsi="Times New Roman"/>
          <w:sz w:val="17"/>
          <w:szCs w:val="17"/>
          <w:u w:val="single" w:color="auto"/>
          <w:color w:val="auto"/>
        </w:rPr>
        <w:t>Supplement to the Offer</w:t>
      </w:r>
      <w:r>
        <w:rPr>
          <w:rFonts w:ascii="Times New Roman" w:cs="Times New Roman" w:eastAsia="Times New Roman" w:hAnsi="Times New Roman"/>
          <w:sz w:val="17"/>
          <w:szCs w:val="17"/>
          <w:color w:val="auto"/>
        </w:rPr>
        <w:t>”), which, together with the Offer to Purchase, the Letter of Transmittal and the other related materials, as each may be amended or supplemented from time to time, constitutes the “</w:t>
      </w:r>
      <w:r>
        <w:rPr>
          <w:rFonts w:ascii="Times New Roman" w:cs="Times New Roman" w:eastAsia="Times New Roman" w:hAnsi="Times New Roman"/>
          <w:sz w:val="17"/>
          <w:szCs w:val="17"/>
          <w:u w:val="single" w:color="auto"/>
          <w:color w:val="auto"/>
        </w:rPr>
        <w:t>Offer</w:t>
      </w:r>
      <w:r>
        <w:rPr>
          <w:rFonts w:ascii="Times New Roman" w:cs="Times New Roman" w:eastAsia="Times New Roman" w:hAnsi="Times New Roman"/>
          <w:sz w:val="17"/>
          <w:szCs w:val="17"/>
          <w:color w:val="auto"/>
        </w:rPr>
        <w:t>”).</w:t>
      </w:r>
    </w:p>
    <w:p>
      <w:pPr>
        <w:spacing w:after="0" w:line="185" w:lineRule="exact"/>
        <w:rPr>
          <w:sz w:val="20"/>
          <w:szCs w:val="20"/>
          <w:color w:val="auto"/>
        </w:rPr>
      </w:pPr>
    </w:p>
    <w:p>
      <w:pPr>
        <w:ind w:right="60" w:firstLine="417"/>
        <w:spacing w:after="0" w:line="261" w:lineRule="auto"/>
        <w:rPr>
          <w:sz w:val="20"/>
          <w:szCs w:val="20"/>
          <w:color w:val="auto"/>
        </w:rPr>
      </w:pPr>
      <w:r>
        <w:rPr>
          <w:rFonts w:ascii="Times New Roman" w:cs="Times New Roman" w:eastAsia="Times New Roman" w:hAnsi="Times New Roman"/>
          <w:sz w:val="17"/>
          <w:szCs w:val="17"/>
          <w:color w:val="auto"/>
        </w:rPr>
        <w:t>This Amendment is being filed to amend and supplement the Schedule TO. Except as amended hereby to the extent specifically provided herein, all terms of the Offer and all other disclosures set forth in the Schedule TO and the Exhibits thereto remain unchanged and are hereby expressly incorporated into this Amendment by reference. Capitalized terms used and not otherwise defined in this Amendment shall have the meanings assigned to such terms in the Schedule TO and the Offer to Purchase.</w:t>
      </w:r>
    </w:p>
    <w:p>
      <w:pPr>
        <w:spacing w:after="0" w:line="172"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color w:val="auto"/>
        </w:rPr>
        <w:t>The Schedule TO is hereby amended and supplemented as follows:</w:t>
      </w:r>
    </w:p>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12. Exhibits.</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Item 12 of the Schedule TO is hereby amended and supplemented by adding the following exhibit thereto:</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9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w w:val="94"/>
              </w:rPr>
              <w:t>Exhibit Number</w:t>
            </w:r>
          </w:p>
        </w:tc>
        <w:tc>
          <w:tcPr>
            <w:tcW w:w="9060" w:type="dxa"/>
            <w:vAlign w:val="bottom"/>
            <w:gridSpan w:val="3"/>
          </w:tcPr>
          <w:p>
            <w:pPr>
              <w:ind w:left="1140"/>
              <w:spacing w:after="0"/>
              <w:rPr>
                <w:sz w:val="20"/>
                <w:szCs w:val="20"/>
                <w:color w:val="auto"/>
              </w:rPr>
            </w:pPr>
            <w:r>
              <w:rPr>
                <w:rFonts w:ascii="Times New Roman" w:cs="Times New Roman" w:eastAsia="Times New Roman" w:hAnsi="Times New Roman"/>
                <w:sz w:val="14"/>
                <w:szCs w:val="14"/>
                <w:b w:val="1"/>
                <w:bCs w:val="1"/>
                <w:color w:val="auto"/>
              </w:rPr>
              <w:t>Exhibit</w:t>
            </w:r>
          </w:p>
        </w:tc>
      </w:tr>
      <w:tr>
        <w:trPr>
          <w:trHeight w:val="20"/>
        </w:trPr>
        <w:tc>
          <w:tcPr>
            <w:tcW w:w="940" w:type="dxa"/>
            <w:vAlign w:val="bottom"/>
            <w:shd w:val="clear" w:color="auto" w:fill="000000"/>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7500" w:type="dxa"/>
            <w:vAlign w:val="bottom"/>
          </w:tcPr>
          <w:p>
            <w:pPr>
              <w:spacing w:after="0" w:line="20" w:lineRule="exact"/>
              <w:rPr>
                <w:sz w:val="1"/>
                <w:szCs w:val="1"/>
                <w:color w:val="auto"/>
              </w:rPr>
            </w:pPr>
          </w:p>
        </w:tc>
      </w:tr>
      <w:tr>
        <w:trPr>
          <w:trHeight w:val="300"/>
        </w:trPr>
        <w:tc>
          <w:tcPr>
            <w:tcW w:w="940" w:type="dxa"/>
            <w:vAlign w:val="bottom"/>
          </w:tcPr>
          <w:p>
            <w:pPr>
              <w:spacing w:after="0"/>
              <w:rPr>
                <w:sz w:val="20"/>
                <w:szCs w:val="20"/>
                <w:color w:val="auto"/>
              </w:rPr>
            </w:pPr>
            <w:r>
              <w:rPr>
                <w:rFonts w:ascii="Times New Roman" w:cs="Times New Roman" w:eastAsia="Times New Roman" w:hAnsi="Times New Roman"/>
                <w:sz w:val="17"/>
                <w:szCs w:val="17"/>
                <w:color w:val="auto"/>
              </w:rPr>
              <w:t>(a)(1)(LL)</w:t>
            </w:r>
          </w:p>
        </w:tc>
        <w:tc>
          <w:tcPr>
            <w:tcW w:w="9060" w:type="dxa"/>
            <w:vAlign w:val="bottom"/>
            <w:gridSpan w:val="3"/>
          </w:tcPr>
          <w:p>
            <w:pPr>
              <w:ind w:left="1140"/>
              <w:spacing w:after="0"/>
              <w:rPr>
                <w:sz w:val="20"/>
                <w:szCs w:val="20"/>
                <w:color w:val="auto"/>
              </w:rPr>
            </w:pPr>
            <w:r>
              <w:rPr>
                <w:rFonts w:ascii="Times New Roman" w:cs="Times New Roman" w:eastAsia="Times New Roman" w:hAnsi="Times New Roman"/>
                <w:sz w:val="17"/>
                <w:szCs w:val="17"/>
                <w:color w:val="auto"/>
                <w:w w:val="99"/>
              </w:rPr>
              <w:t>Presentation of Icahn Enterprises L.P. regarding Southwest Gas Holdings, Inc., dated April 13, 2022 (filed herewith)</w:t>
            </w:r>
          </w:p>
        </w:tc>
      </w:tr>
    </w:tbl>
    <w:p>
      <w:pPr>
        <w:sectPr>
          <w:pgSz w:w="11900" w:h="16838" w:orient="portrait"/>
          <w:cols w:equalWidth="0" w:num="1">
            <w:col w:w="10380"/>
          </w:cols>
          <w:pgMar w:left="740" w:top="264" w:right="779" w:bottom="1440" w:gutter="0" w:footer="0" w:header="0"/>
        </w:sectPr>
      </w:pPr>
    </w:p>
    <w:bookmarkStart w:id="2" w:name="page3"/>
    <w:bookmarkEnd w:id="2"/>
    <w:p>
      <w:pPr>
        <w:jc w:val="center"/>
        <w:ind w:right="-319"/>
        <w:spacing w:after="0"/>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191770</wp:posOffset>
            </wp:positionH>
            <wp:positionV relativeFrom="page">
              <wp:posOffset>88900</wp:posOffset>
            </wp:positionV>
            <wp:extent cx="7181215" cy="3683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81215" cy="36830"/>
                    </a:xfrm>
                    <a:prstGeom prst="rect">
                      <a:avLst/>
                    </a:prstGeom>
                    <a:noFill/>
                  </pic:spPr>
                </pic:pic>
              </a:graphicData>
            </a:graphic>
          </wp:anchor>
        </w:drawing>
        <w:t>SIGNATURES</w:t>
      </w:r>
    </w:p>
    <w:p>
      <w:pPr>
        <w:spacing w:after="0" w:line="217" w:lineRule="exact"/>
        <w:rPr>
          <w:sz w:val="20"/>
          <w:szCs w:val="20"/>
          <w:color w:val="auto"/>
        </w:rPr>
      </w:pPr>
    </w:p>
    <w:p>
      <w:pPr>
        <w:ind w:firstLine="417"/>
        <w:spacing w:after="0" w:line="283" w:lineRule="auto"/>
        <w:rPr>
          <w:sz w:val="20"/>
          <w:szCs w:val="20"/>
          <w:color w:val="auto"/>
        </w:rPr>
      </w:pPr>
      <w:r>
        <w:rPr>
          <w:rFonts w:ascii="Times New Roman" w:cs="Times New Roman" w:eastAsia="Times New Roman" w:hAnsi="Times New Roman"/>
          <w:sz w:val="17"/>
          <w:szCs w:val="17"/>
          <w:color w:val="auto"/>
        </w:rPr>
        <w:t>After due inquiry and to the best knowledge and belief of the undersigned, each of the undersigned certify that the information set forth in this statement is true, complete and correct.</w:t>
      </w:r>
    </w:p>
    <w:p>
      <w:pPr>
        <w:spacing w:after="0" w:line="174" w:lineRule="exact"/>
        <w:rPr>
          <w:sz w:val="20"/>
          <w:szCs w:val="20"/>
          <w:color w:val="auto"/>
        </w:rPr>
      </w:pPr>
    </w:p>
    <w:p>
      <w:pPr>
        <w:spacing w:after="0"/>
        <w:tabs>
          <w:tab w:leader="none" w:pos="5400" w:val="left"/>
        </w:tabs>
        <w:rPr>
          <w:sz w:val="20"/>
          <w:szCs w:val="20"/>
          <w:color w:val="auto"/>
        </w:rPr>
      </w:pPr>
      <w:r>
        <w:rPr>
          <w:rFonts w:ascii="Times New Roman" w:cs="Times New Roman" w:eastAsia="Times New Roman" w:hAnsi="Times New Roman"/>
          <w:sz w:val="17"/>
          <w:szCs w:val="17"/>
          <w:color w:val="auto"/>
        </w:rPr>
        <w:t>Date: April 14, 2022</w:t>
      </w:r>
      <w:r>
        <w:rPr>
          <w:sz w:val="20"/>
          <w:szCs w:val="20"/>
          <w:color w:val="auto"/>
        </w:rPr>
        <w:tab/>
      </w:r>
      <w:r>
        <w:rPr>
          <w:rFonts w:ascii="Times New Roman" w:cs="Times New Roman" w:eastAsia="Times New Roman" w:hAnsi="Times New Roman"/>
          <w:sz w:val="17"/>
          <w:szCs w:val="17"/>
          <w:b w:val="1"/>
          <w:bCs w:val="1"/>
          <w:color w:val="auto"/>
        </w:rPr>
        <w:t>IEP UTILITY HOLDINGS LLC</w:t>
      </w:r>
    </w:p>
    <w:p>
      <w:pPr>
        <w:spacing w:after="0" w:line="217" w:lineRule="exact"/>
        <w:rPr>
          <w:sz w:val="20"/>
          <w:szCs w:val="20"/>
          <w:color w:val="auto"/>
        </w:rPr>
      </w:pPr>
    </w:p>
    <w:p>
      <w:pPr>
        <w:ind w:left="5420"/>
        <w:spacing w:after="0"/>
        <w:tabs>
          <w:tab w:leader="none" w:pos="5820" w:val="left"/>
        </w:tabs>
        <w:rPr>
          <w:sz w:val="20"/>
          <w:szCs w:val="20"/>
          <w:color w:val="auto"/>
        </w:rPr>
      </w:pPr>
      <w:r>
        <w:rPr>
          <w:rFonts w:ascii="Times New Roman" w:cs="Times New Roman" w:eastAsia="Times New Roman" w:hAnsi="Times New Roman"/>
          <w:sz w:val="17"/>
          <w:szCs w:val="17"/>
          <w:color w:val="auto"/>
        </w:rPr>
        <w:t>By:</w:t>
      </w:r>
      <w:r>
        <w:rPr>
          <w:sz w:val="20"/>
          <w:szCs w:val="20"/>
          <w:color w:val="auto"/>
        </w:rPr>
        <w:tab/>
      </w:r>
      <w:r>
        <w:rPr>
          <w:rFonts w:ascii="Times New Roman" w:cs="Times New Roman" w:eastAsia="Times New Roman" w:hAnsi="Times New Roman"/>
          <w:sz w:val="16"/>
          <w:szCs w:val="16"/>
          <w:color w:val="auto"/>
        </w:rPr>
        <w:t>/s/ Ted Papapostolou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3637280</wp:posOffset>
            </wp:positionH>
            <wp:positionV relativeFrom="paragraph">
              <wp:posOffset>15875</wp:posOffset>
            </wp:positionV>
            <wp:extent cx="297751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977515" cy="8255"/>
                    </a:xfrm>
                    <a:prstGeom prst="rect">
                      <a:avLst/>
                    </a:prstGeom>
                    <a:noFill/>
                  </pic:spPr>
                </pic:pic>
              </a:graphicData>
            </a:graphic>
          </wp:anchor>
        </w:drawing>
      </w:r>
    </w:p>
    <w:p>
      <w:pPr>
        <w:spacing w:after="0" w:line="6" w:lineRule="exact"/>
        <w:rPr>
          <w:sz w:val="20"/>
          <w:szCs w:val="20"/>
          <w:color w:val="auto"/>
        </w:rPr>
      </w:pPr>
    </w:p>
    <w:p>
      <w:pPr>
        <w:ind w:left="5420"/>
        <w:spacing w:after="0"/>
        <w:rPr>
          <w:sz w:val="20"/>
          <w:szCs w:val="20"/>
          <w:color w:val="auto"/>
        </w:rPr>
      </w:pPr>
      <w:r>
        <w:rPr>
          <w:rFonts w:ascii="Times New Roman" w:cs="Times New Roman" w:eastAsia="Times New Roman" w:hAnsi="Times New Roman"/>
          <w:sz w:val="17"/>
          <w:szCs w:val="17"/>
          <w:color w:val="auto"/>
        </w:rPr>
        <w:t>Name: Ted Papapostolou</w:t>
      </w:r>
    </w:p>
    <w:p>
      <w:pPr>
        <w:spacing w:after="0" w:line="9" w:lineRule="exact"/>
        <w:rPr>
          <w:sz w:val="20"/>
          <w:szCs w:val="20"/>
          <w:color w:val="auto"/>
        </w:rPr>
      </w:pPr>
    </w:p>
    <w:p>
      <w:pPr>
        <w:ind w:left="5420"/>
        <w:spacing w:after="0"/>
        <w:rPr>
          <w:sz w:val="20"/>
          <w:szCs w:val="20"/>
          <w:color w:val="auto"/>
        </w:rPr>
      </w:pPr>
      <w:r>
        <w:rPr>
          <w:rFonts w:ascii="Times New Roman" w:cs="Times New Roman" w:eastAsia="Times New Roman" w:hAnsi="Times New Roman"/>
          <w:sz w:val="17"/>
          <w:szCs w:val="17"/>
          <w:color w:val="auto"/>
        </w:rPr>
        <w:t>Title: Chief Financial Officer</w:t>
      </w:r>
    </w:p>
    <w:p>
      <w:pPr>
        <w:spacing w:after="0" w:line="192" w:lineRule="exact"/>
        <w:rPr>
          <w:sz w:val="20"/>
          <w:szCs w:val="20"/>
          <w:color w:val="auto"/>
        </w:rPr>
      </w:pPr>
    </w:p>
    <w:p>
      <w:pPr>
        <w:ind w:left="5420"/>
        <w:spacing w:after="0"/>
        <w:rPr>
          <w:sz w:val="20"/>
          <w:szCs w:val="20"/>
          <w:color w:val="auto"/>
        </w:rPr>
      </w:pPr>
      <w:r>
        <w:rPr>
          <w:rFonts w:ascii="Times New Roman" w:cs="Times New Roman" w:eastAsia="Times New Roman" w:hAnsi="Times New Roman"/>
          <w:sz w:val="17"/>
          <w:szCs w:val="17"/>
          <w:b w:val="1"/>
          <w:bCs w:val="1"/>
          <w:color w:val="auto"/>
        </w:rPr>
        <w:t>ICAHN ENTERPRISES HOLDINGS L.P.</w:t>
      </w:r>
    </w:p>
    <w:p>
      <w:pPr>
        <w:spacing w:after="0" w:line="217" w:lineRule="exact"/>
        <w:rPr>
          <w:sz w:val="20"/>
          <w:szCs w:val="20"/>
          <w:color w:val="auto"/>
        </w:rPr>
      </w:pPr>
    </w:p>
    <w:p>
      <w:pPr>
        <w:ind w:left="5420"/>
        <w:spacing w:after="0"/>
        <w:tabs>
          <w:tab w:leader="none" w:pos="5820" w:val="left"/>
        </w:tabs>
        <w:rPr>
          <w:sz w:val="20"/>
          <w:szCs w:val="20"/>
          <w:color w:val="auto"/>
        </w:rPr>
      </w:pPr>
      <w:r>
        <w:rPr>
          <w:rFonts w:ascii="Times New Roman" w:cs="Times New Roman" w:eastAsia="Times New Roman" w:hAnsi="Times New Roman"/>
          <w:sz w:val="17"/>
          <w:szCs w:val="17"/>
          <w:color w:val="auto"/>
        </w:rPr>
        <w:t>By:</w:t>
      </w:r>
      <w:r>
        <w:rPr>
          <w:sz w:val="20"/>
          <w:szCs w:val="20"/>
          <w:color w:val="auto"/>
        </w:rPr>
        <w:tab/>
      </w:r>
      <w:r>
        <w:rPr>
          <w:rFonts w:ascii="Times New Roman" w:cs="Times New Roman" w:eastAsia="Times New Roman" w:hAnsi="Times New Roman"/>
          <w:sz w:val="16"/>
          <w:szCs w:val="16"/>
          <w:color w:val="auto"/>
        </w:rPr>
        <w:t>Icahn Enterprises G.P. Inc., its general partner</w:t>
      </w:r>
    </w:p>
    <w:p>
      <w:pPr>
        <w:spacing w:after="0" w:line="213" w:lineRule="exact"/>
        <w:rPr>
          <w:sz w:val="20"/>
          <w:szCs w:val="20"/>
          <w:color w:val="auto"/>
        </w:rPr>
      </w:pPr>
    </w:p>
    <w:p>
      <w:pPr>
        <w:ind w:left="5420"/>
        <w:spacing w:after="0"/>
        <w:tabs>
          <w:tab w:leader="none" w:pos="5820" w:val="left"/>
        </w:tabs>
        <w:rPr>
          <w:sz w:val="20"/>
          <w:szCs w:val="20"/>
          <w:color w:val="auto"/>
        </w:rPr>
      </w:pPr>
      <w:r>
        <w:rPr>
          <w:rFonts w:ascii="Times New Roman" w:cs="Times New Roman" w:eastAsia="Times New Roman" w:hAnsi="Times New Roman"/>
          <w:sz w:val="17"/>
          <w:szCs w:val="17"/>
          <w:color w:val="auto"/>
        </w:rPr>
        <w:t>By:</w:t>
      </w:r>
      <w:r>
        <w:rPr>
          <w:sz w:val="20"/>
          <w:szCs w:val="20"/>
          <w:color w:val="auto"/>
        </w:rPr>
        <w:tab/>
      </w:r>
      <w:r>
        <w:rPr>
          <w:rFonts w:ascii="Times New Roman" w:cs="Times New Roman" w:eastAsia="Times New Roman" w:hAnsi="Times New Roman"/>
          <w:sz w:val="16"/>
          <w:szCs w:val="16"/>
          <w:color w:val="auto"/>
        </w:rPr>
        <w:t>/s/ Ted Papapostolou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3637280</wp:posOffset>
            </wp:positionH>
            <wp:positionV relativeFrom="paragraph">
              <wp:posOffset>15875</wp:posOffset>
            </wp:positionV>
            <wp:extent cx="297751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977515" cy="8255"/>
                    </a:xfrm>
                    <a:prstGeom prst="rect">
                      <a:avLst/>
                    </a:prstGeom>
                    <a:noFill/>
                  </pic:spPr>
                </pic:pic>
              </a:graphicData>
            </a:graphic>
          </wp:anchor>
        </w:drawing>
      </w:r>
    </w:p>
    <w:p>
      <w:pPr>
        <w:spacing w:after="0" w:line="6" w:lineRule="exact"/>
        <w:rPr>
          <w:sz w:val="20"/>
          <w:szCs w:val="20"/>
          <w:color w:val="auto"/>
        </w:rPr>
      </w:pPr>
    </w:p>
    <w:p>
      <w:pPr>
        <w:ind w:left="5420"/>
        <w:spacing w:after="0"/>
        <w:rPr>
          <w:sz w:val="20"/>
          <w:szCs w:val="20"/>
          <w:color w:val="auto"/>
        </w:rPr>
      </w:pPr>
      <w:r>
        <w:rPr>
          <w:rFonts w:ascii="Times New Roman" w:cs="Times New Roman" w:eastAsia="Times New Roman" w:hAnsi="Times New Roman"/>
          <w:sz w:val="17"/>
          <w:szCs w:val="17"/>
          <w:color w:val="auto"/>
        </w:rPr>
        <w:t>Name: Ted Papapostolou</w:t>
      </w:r>
    </w:p>
    <w:p>
      <w:pPr>
        <w:spacing w:after="0" w:line="9" w:lineRule="exact"/>
        <w:rPr>
          <w:sz w:val="20"/>
          <w:szCs w:val="20"/>
          <w:color w:val="auto"/>
        </w:rPr>
      </w:pPr>
    </w:p>
    <w:p>
      <w:pPr>
        <w:ind w:left="5420"/>
        <w:spacing w:after="0"/>
        <w:rPr>
          <w:sz w:val="20"/>
          <w:szCs w:val="20"/>
          <w:color w:val="auto"/>
        </w:rPr>
      </w:pPr>
      <w:r>
        <w:rPr>
          <w:rFonts w:ascii="Times New Roman" w:cs="Times New Roman" w:eastAsia="Times New Roman" w:hAnsi="Times New Roman"/>
          <w:sz w:val="17"/>
          <w:szCs w:val="17"/>
          <w:color w:val="auto"/>
        </w:rPr>
        <w:t>Title: Chief Financial Officer</w:t>
      </w:r>
    </w:p>
    <w:p>
      <w:pPr>
        <w:spacing w:after="0" w:line="192" w:lineRule="exact"/>
        <w:rPr>
          <w:sz w:val="20"/>
          <w:szCs w:val="20"/>
          <w:color w:val="auto"/>
        </w:rPr>
      </w:pPr>
    </w:p>
    <w:p>
      <w:pPr>
        <w:ind w:left="5420"/>
        <w:spacing w:after="0"/>
        <w:rPr>
          <w:sz w:val="20"/>
          <w:szCs w:val="20"/>
          <w:color w:val="auto"/>
        </w:rPr>
      </w:pPr>
      <w:r>
        <w:rPr>
          <w:rFonts w:ascii="Times New Roman" w:cs="Times New Roman" w:eastAsia="Times New Roman" w:hAnsi="Times New Roman"/>
          <w:sz w:val="17"/>
          <w:szCs w:val="17"/>
          <w:b w:val="1"/>
          <w:bCs w:val="1"/>
          <w:color w:val="auto"/>
        </w:rPr>
        <w:t>ICAHN ENTERPRISES L.P.</w:t>
      </w:r>
    </w:p>
    <w:p>
      <w:pPr>
        <w:spacing w:after="0" w:line="217" w:lineRule="exact"/>
        <w:rPr>
          <w:sz w:val="20"/>
          <w:szCs w:val="20"/>
          <w:color w:val="auto"/>
        </w:rPr>
      </w:pPr>
    </w:p>
    <w:p>
      <w:pPr>
        <w:ind w:left="5420"/>
        <w:spacing w:after="0"/>
        <w:tabs>
          <w:tab w:leader="none" w:pos="5820" w:val="left"/>
        </w:tabs>
        <w:rPr>
          <w:sz w:val="20"/>
          <w:szCs w:val="20"/>
          <w:color w:val="auto"/>
        </w:rPr>
      </w:pPr>
      <w:r>
        <w:rPr>
          <w:rFonts w:ascii="Times New Roman" w:cs="Times New Roman" w:eastAsia="Times New Roman" w:hAnsi="Times New Roman"/>
          <w:sz w:val="17"/>
          <w:szCs w:val="17"/>
          <w:color w:val="auto"/>
        </w:rPr>
        <w:t>By:</w:t>
      </w:r>
      <w:r>
        <w:rPr>
          <w:sz w:val="20"/>
          <w:szCs w:val="20"/>
          <w:color w:val="auto"/>
        </w:rPr>
        <w:tab/>
      </w:r>
      <w:r>
        <w:rPr>
          <w:rFonts w:ascii="Times New Roman" w:cs="Times New Roman" w:eastAsia="Times New Roman" w:hAnsi="Times New Roman"/>
          <w:sz w:val="16"/>
          <w:szCs w:val="16"/>
          <w:color w:val="auto"/>
        </w:rPr>
        <w:t>Icahn Enterprises G.P. Inc., its general partner</w:t>
      </w:r>
    </w:p>
    <w:p>
      <w:pPr>
        <w:spacing w:after="0" w:line="213" w:lineRule="exact"/>
        <w:rPr>
          <w:sz w:val="20"/>
          <w:szCs w:val="20"/>
          <w:color w:val="auto"/>
        </w:rPr>
      </w:pPr>
    </w:p>
    <w:p>
      <w:pPr>
        <w:ind w:left="5420"/>
        <w:spacing w:after="0"/>
        <w:tabs>
          <w:tab w:leader="none" w:pos="5820" w:val="left"/>
        </w:tabs>
        <w:rPr>
          <w:sz w:val="20"/>
          <w:szCs w:val="20"/>
          <w:color w:val="auto"/>
        </w:rPr>
      </w:pPr>
      <w:r>
        <w:rPr>
          <w:rFonts w:ascii="Times New Roman" w:cs="Times New Roman" w:eastAsia="Times New Roman" w:hAnsi="Times New Roman"/>
          <w:sz w:val="17"/>
          <w:szCs w:val="17"/>
          <w:color w:val="auto"/>
        </w:rPr>
        <w:t>By:</w:t>
      </w:r>
      <w:r>
        <w:rPr>
          <w:sz w:val="20"/>
          <w:szCs w:val="20"/>
          <w:color w:val="auto"/>
        </w:rPr>
        <w:tab/>
      </w:r>
      <w:r>
        <w:rPr>
          <w:rFonts w:ascii="Times New Roman" w:cs="Times New Roman" w:eastAsia="Times New Roman" w:hAnsi="Times New Roman"/>
          <w:sz w:val="16"/>
          <w:szCs w:val="16"/>
          <w:color w:val="auto"/>
        </w:rPr>
        <w:t>/s/ Ted Papapostolou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3637280</wp:posOffset>
            </wp:positionH>
            <wp:positionV relativeFrom="paragraph">
              <wp:posOffset>15875</wp:posOffset>
            </wp:positionV>
            <wp:extent cx="297751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977515" cy="8255"/>
                    </a:xfrm>
                    <a:prstGeom prst="rect">
                      <a:avLst/>
                    </a:prstGeom>
                    <a:noFill/>
                  </pic:spPr>
                </pic:pic>
              </a:graphicData>
            </a:graphic>
          </wp:anchor>
        </w:drawing>
      </w:r>
    </w:p>
    <w:p>
      <w:pPr>
        <w:spacing w:after="0" w:line="6" w:lineRule="exact"/>
        <w:rPr>
          <w:sz w:val="20"/>
          <w:szCs w:val="20"/>
          <w:color w:val="auto"/>
        </w:rPr>
      </w:pPr>
    </w:p>
    <w:p>
      <w:pPr>
        <w:ind w:left="5420"/>
        <w:spacing w:after="0"/>
        <w:rPr>
          <w:sz w:val="20"/>
          <w:szCs w:val="20"/>
          <w:color w:val="auto"/>
        </w:rPr>
      </w:pPr>
      <w:r>
        <w:rPr>
          <w:rFonts w:ascii="Times New Roman" w:cs="Times New Roman" w:eastAsia="Times New Roman" w:hAnsi="Times New Roman"/>
          <w:sz w:val="17"/>
          <w:szCs w:val="17"/>
          <w:color w:val="auto"/>
        </w:rPr>
        <w:t>Name: Ted Papapostolou</w:t>
      </w:r>
    </w:p>
    <w:p>
      <w:pPr>
        <w:spacing w:after="0" w:line="9" w:lineRule="exact"/>
        <w:rPr>
          <w:sz w:val="20"/>
          <w:szCs w:val="20"/>
          <w:color w:val="auto"/>
        </w:rPr>
      </w:pPr>
    </w:p>
    <w:p>
      <w:pPr>
        <w:ind w:left="5420"/>
        <w:spacing w:after="0"/>
        <w:rPr>
          <w:sz w:val="20"/>
          <w:szCs w:val="20"/>
          <w:color w:val="auto"/>
        </w:rPr>
      </w:pPr>
      <w:r>
        <w:rPr>
          <w:rFonts w:ascii="Times New Roman" w:cs="Times New Roman" w:eastAsia="Times New Roman" w:hAnsi="Times New Roman"/>
          <w:sz w:val="17"/>
          <w:szCs w:val="17"/>
          <w:color w:val="auto"/>
        </w:rPr>
        <w:t>Title: Chief Financial Officer</w:t>
      </w:r>
    </w:p>
    <w:p>
      <w:pPr>
        <w:spacing w:after="0" w:line="192" w:lineRule="exact"/>
        <w:rPr>
          <w:sz w:val="20"/>
          <w:szCs w:val="20"/>
          <w:color w:val="auto"/>
        </w:rPr>
      </w:pPr>
    </w:p>
    <w:p>
      <w:pPr>
        <w:ind w:left="5420"/>
        <w:spacing w:after="0"/>
        <w:rPr>
          <w:sz w:val="20"/>
          <w:szCs w:val="20"/>
          <w:color w:val="auto"/>
        </w:rPr>
      </w:pPr>
      <w:r>
        <w:rPr>
          <w:rFonts w:ascii="Times New Roman" w:cs="Times New Roman" w:eastAsia="Times New Roman" w:hAnsi="Times New Roman"/>
          <w:sz w:val="17"/>
          <w:szCs w:val="17"/>
          <w:b w:val="1"/>
          <w:bCs w:val="1"/>
          <w:color w:val="auto"/>
        </w:rPr>
        <w:t>ICAHN ENTERPRISES G.P. INC.</w:t>
      </w:r>
    </w:p>
    <w:p>
      <w:pPr>
        <w:spacing w:after="0" w:line="217" w:lineRule="exact"/>
        <w:rPr>
          <w:sz w:val="20"/>
          <w:szCs w:val="20"/>
          <w:color w:val="auto"/>
        </w:rPr>
      </w:pPr>
    </w:p>
    <w:p>
      <w:pPr>
        <w:ind w:left="5420"/>
        <w:spacing w:after="0"/>
        <w:tabs>
          <w:tab w:leader="none" w:pos="5820" w:val="left"/>
        </w:tabs>
        <w:rPr>
          <w:sz w:val="20"/>
          <w:szCs w:val="20"/>
          <w:color w:val="auto"/>
        </w:rPr>
      </w:pPr>
      <w:r>
        <w:rPr>
          <w:rFonts w:ascii="Times New Roman" w:cs="Times New Roman" w:eastAsia="Times New Roman" w:hAnsi="Times New Roman"/>
          <w:sz w:val="17"/>
          <w:szCs w:val="17"/>
          <w:color w:val="auto"/>
        </w:rPr>
        <w:t>By:</w:t>
      </w:r>
      <w:r>
        <w:rPr>
          <w:sz w:val="20"/>
          <w:szCs w:val="20"/>
          <w:color w:val="auto"/>
        </w:rPr>
        <w:tab/>
      </w:r>
      <w:r>
        <w:rPr>
          <w:rFonts w:ascii="Times New Roman" w:cs="Times New Roman" w:eastAsia="Times New Roman" w:hAnsi="Times New Roman"/>
          <w:sz w:val="16"/>
          <w:szCs w:val="16"/>
          <w:color w:val="auto"/>
        </w:rPr>
        <w:t>/s/ Ted Papapostolou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3637280</wp:posOffset>
            </wp:positionH>
            <wp:positionV relativeFrom="paragraph">
              <wp:posOffset>15875</wp:posOffset>
            </wp:positionV>
            <wp:extent cx="297751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977515" cy="8255"/>
                    </a:xfrm>
                    <a:prstGeom prst="rect">
                      <a:avLst/>
                    </a:prstGeom>
                    <a:noFill/>
                  </pic:spPr>
                </pic:pic>
              </a:graphicData>
            </a:graphic>
          </wp:anchor>
        </w:drawing>
      </w:r>
    </w:p>
    <w:p>
      <w:pPr>
        <w:spacing w:after="0" w:line="6" w:lineRule="exact"/>
        <w:rPr>
          <w:sz w:val="20"/>
          <w:szCs w:val="20"/>
          <w:color w:val="auto"/>
        </w:rPr>
      </w:pPr>
    </w:p>
    <w:p>
      <w:pPr>
        <w:ind w:left="5420"/>
        <w:spacing w:after="0"/>
        <w:rPr>
          <w:sz w:val="20"/>
          <w:szCs w:val="20"/>
          <w:color w:val="auto"/>
        </w:rPr>
      </w:pPr>
      <w:r>
        <w:rPr>
          <w:rFonts w:ascii="Times New Roman" w:cs="Times New Roman" w:eastAsia="Times New Roman" w:hAnsi="Times New Roman"/>
          <w:sz w:val="17"/>
          <w:szCs w:val="17"/>
          <w:color w:val="auto"/>
        </w:rPr>
        <w:t>Name: Ted Papapostolou</w:t>
      </w:r>
    </w:p>
    <w:p>
      <w:pPr>
        <w:spacing w:after="0" w:line="9" w:lineRule="exact"/>
        <w:rPr>
          <w:sz w:val="20"/>
          <w:szCs w:val="20"/>
          <w:color w:val="auto"/>
        </w:rPr>
      </w:pPr>
    </w:p>
    <w:p>
      <w:pPr>
        <w:ind w:left="5420"/>
        <w:spacing w:after="0"/>
        <w:rPr>
          <w:sz w:val="20"/>
          <w:szCs w:val="20"/>
          <w:color w:val="auto"/>
        </w:rPr>
      </w:pPr>
      <w:r>
        <w:rPr>
          <w:rFonts w:ascii="Times New Roman" w:cs="Times New Roman" w:eastAsia="Times New Roman" w:hAnsi="Times New Roman"/>
          <w:sz w:val="17"/>
          <w:szCs w:val="17"/>
          <w:color w:val="auto"/>
        </w:rPr>
        <w:t>Title: Chief Financial Officer</w:t>
      </w:r>
    </w:p>
    <w:p>
      <w:pPr>
        <w:spacing w:after="0" w:line="192" w:lineRule="exact"/>
        <w:rPr>
          <w:sz w:val="20"/>
          <w:szCs w:val="20"/>
          <w:color w:val="auto"/>
        </w:rPr>
      </w:pPr>
    </w:p>
    <w:p>
      <w:pPr>
        <w:ind w:left="5420"/>
        <w:spacing w:after="0"/>
        <w:rPr>
          <w:sz w:val="20"/>
          <w:szCs w:val="20"/>
          <w:color w:val="auto"/>
        </w:rPr>
      </w:pPr>
      <w:r>
        <w:rPr>
          <w:rFonts w:ascii="Times New Roman" w:cs="Times New Roman" w:eastAsia="Times New Roman" w:hAnsi="Times New Roman"/>
          <w:sz w:val="17"/>
          <w:szCs w:val="17"/>
          <w:b w:val="1"/>
          <w:bCs w:val="1"/>
          <w:color w:val="auto"/>
        </w:rPr>
        <w:t>BECKTON CORP.</w:t>
      </w:r>
    </w:p>
    <w:p>
      <w:pPr>
        <w:spacing w:after="0" w:line="217" w:lineRule="exact"/>
        <w:rPr>
          <w:sz w:val="20"/>
          <w:szCs w:val="20"/>
          <w:color w:val="auto"/>
        </w:rPr>
      </w:pPr>
    </w:p>
    <w:p>
      <w:pPr>
        <w:ind w:left="5420"/>
        <w:spacing w:after="0"/>
        <w:tabs>
          <w:tab w:leader="none" w:pos="5820" w:val="left"/>
        </w:tabs>
        <w:rPr>
          <w:sz w:val="20"/>
          <w:szCs w:val="20"/>
          <w:color w:val="auto"/>
        </w:rPr>
      </w:pPr>
      <w:r>
        <w:rPr>
          <w:rFonts w:ascii="Times New Roman" w:cs="Times New Roman" w:eastAsia="Times New Roman" w:hAnsi="Times New Roman"/>
          <w:sz w:val="17"/>
          <w:szCs w:val="17"/>
          <w:color w:val="auto"/>
        </w:rPr>
        <w:t>By:</w:t>
        <w:tab/>
        <w:t>/s/ Irene March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3637280</wp:posOffset>
            </wp:positionH>
            <wp:positionV relativeFrom="paragraph">
              <wp:posOffset>15875</wp:posOffset>
            </wp:positionV>
            <wp:extent cx="297751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977515" cy="8255"/>
                    </a:xfrm>
                    <a:prstGeom prst="rect">
                      <a:avLst/>
                    </a:prstGeom>
                    <a:noFill/>
                  </pic:spPr>
                </pic:pic>
              </a:graphicData>
            </a:graphic>
          </wp:anchor>
        </w:drawing>
      </w:r>
    </w:p>
    <w:p>
      <w:pPr>
        <w:spacing w:after="0" w:line="6" w:lineRule="exact"/>
        <w:rPr>
          <w:sz w:val="20"/>
          <w:szCs w:val="20"/>
          <w:color w:val="auto"/>
        </w:rPr>
      </w:pPr>
    </w:p>
    <w:p>
      <w:pPr>
        <w:ind w:left="5420"/>
        <w:spacing w:after="0"/>
        <w:rPr>
          <w:sz w:val="20"/>
          <w:szCs w:val="20"/>
          <w:color w:val="auto"/>
        </w:rPr>
      </w:pPr>
      <w:r>
        <w:rPr>
          <w:rFonts w:ascii="Times New Roman" w:cs="Times New Roman" w:eastAsia="Times New Roman" w:hAnsi="Times New Roman"/>
          <w:sz w:val="17"/>
          <w:szCs w:val="17"/>
          <w:color w:val="auto"/>
        </w:rPr>
        <w:t>Name: Irene March</w:t>
      </w:r>
    </w:p>
    <w:p>
      <w:pPr>
        <w:spacing w:after="0" w:line="9" w:lineRule="exact"/>
        <w:rPr>
          <w:sz w:val="20"/>
          <w:szCs w:val="20"/>
          <w:color w:val="auto"/>
        </w:rPr>
      </w:pPr>
    </w:p>
    <w:p>
      <w:pPr>
        <w:ind w:left="5420"/>
        <w:spacing w:after="0"/>
        <w:rPr>
          <w:sz w:val="20"/>
          <w:szCs w:val="20"/>
          <w:color w:val="auto"/>
        </w:rPr>
      </w:pPr>
      <w:r>
        <w:rPr>
          <w:rFonts w:ascii="Times New Roman" w:cs="Times New Roman" w:eastAsia="Times New Roman" w:hAnsi="Times New Roman"/>
          <w:sz w:val="17"/>
          <w:szCs w:val="17"/>
          <w:color w:val="auto"/>
        </w:rPr>
        <w:t>Title: Vice President</w:t>
      </w:r>
    </w:p>
    <w:p>
      <w:pPr>
        <w:spacing w:after="0" w:line="196" w:lineRule="exact"/>
        <w:rPr>
          <w:sz w:val="20"/>
          <w:szCs w:val="20"/>
          <w:color w:val="auto"/>
        </w:rPr>
      </w:pPr>
    </w:p>
    <w:p>
      <w:pPr>
        <w:ind w:left="5420"/>
        <w:spacing w:after="0"/>
        <w:rPr>
          <w:sz w:val="20"/>
          <w:szCs w:val="20"/>
          <w:color w:val="auto"/>
        </w:rPr>
      </w:pPr>
      <w:r>
        <w:rPr>
          <w:rFonts w:ascii="Times New Roman" w:cs="Times New Roman" w:eastAsia="Times New Roman" w:hAnsi="Times New Roman"/>
          <w:sz w:val="17"/>
          <w:szCs w:val="17"/>
          <w:color w:val="auto"/>
        </w:rPr>
        <w:t>/s/ Carl C. Icahn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3361055</wp:posOffset>
            </wp:positionH>
            <wp:positionV relativeFrom="paragraph">
              <wp:posOffset>15875</wp:posOffset>
            </wp:positionV>
            <wp:extent cx="325310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253105" cy="8255"/>
                    </a:xfrm>
                    <a:prstGeom prst="rect">
                      <a:avLst/>
                    </a:prstGeom>
                    <a:noFill/>
                  </pic:spPr>
                </pic:pic>
              </a:graphicData>
            </a:graphic>
          </wp:anchor>
        </w:drawing>
      </w:r>
    </w:p>
    <w:p>
      <w:pPr>
        <w:spacing w:after="0" w:line="6" w:lineRule="exact"/>
        <w:rPr>
          <w:sz w:val="20"/>
          <w:szCs w:val="20"/>
          <w:color w:val="auto"/>
        </w:rPr>
      </w:pPr>
    </w:p>
    <w:p>
      <w:pPr>
        <w:ind w:left="5420"/>
        <w:spacing w:after="0"/>
        <w:rPr>
          <w:sz w:val="20"/>
          <w:szCs w:val="20"/>
          <w:color w:val="auto"/>
        </w:rPr>
      </w:pPr>
      <w:r>
        <w:rPr>
          <w:rFonts w:ascii="Times New Roman" w:cs="Times New Roman" w:eastAsia="Times New Roman" w:hAnsi="Times New Roman"/>
          <w:sz w:val="17"/>
          <w:szCs w:val="17"/>
          <w:color w:val="auto"/>
        </w:rPr>
        <w:t>Carl C. Icahn</w:t>
      </w:r>
    </w:p>
    <w:p>
      <w:pPr>
        <w:sectPr>
          <w:pgSz w:w="11900" w:h="16838" w:orient="portrait"/>
          <w:cols w:equalWidth="0" w:num="1">
            <w:col w:w="10100"/>
          </w:cols>
          <w:pgMar w:left="740" w:top="260" w:right="1059" w:bottom="1440" w:gutter="0" w:footer="0" w:header="0"/>
        </w:sectPr>
      </w:pPr>
    </w:p>
    <w:bookmarkStart w:id="3" w:name="page4"/>
    <w:bookmarkEnd w:id="3"/>
    <w:p>
      <w:pPr>
        <w:ind w:left="8400"/>
        <w:spacing w:after="0"/>
        <w:rPr>
          <w:sz w:val="20"/>
          <w:szCs w:val="20"/>
          <w:color w:val="auto"/>
        </w:rPr>
      </w:pPr>
      <w:r>
        <w:rPr>
          <w:rFonts w:ascii="Times New Roman" w:cs="Times New Roman" w:eastAsia="Times New Roman" w:hAnsi="Times New Roman"/>
          <w:sz w:val="17"/>
          <w:szCs w:val="17"/>
          <w:b w:val="1"/>
          <w:bCs w:val="1"/>
          <w:color w:val="auto"/>
        </w:rPr>
        <w:t>Exhibit (a)(1)(LL)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-449580</wp:posOffset>
            </wp:positionH>
            <wp:positionV relativeFrom="paragraph">
              <wp:posOffset>164465</wp:posOffset>
            </wp:positionV>
            <wp:extent cx="6939915" cy="53549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939915" cy="5354955"/>
                    </a:xfrm>
                    <a:prstGeom prst="rect">
                      <a:avLst/>
                    </a:prstGeom>
                    <a:noFill/>
                  </pic:spPr>
                </pic:pic>
              </a:graphicData>
            </a:graphic>
          </wp:anchor>
        </w:drawing>
      </w:r>
    </w:p>
    <w:p>
      <w:pPr>
        <w:sectPr>
          <w:pgSz w:w="11900" w:h="16838" w:orient="portrait"/>
          <w:cols w:equalWidth="0" w:num="1">
            <w:col w:w="9720"/>
          </w:cols>
          <w:pgMar w:left="1440" w:top="119" w:right="739" w:bottom="1440" w:gutter="0" w:footer="0" w:header="0"/>
        </w:sectPr>
      </w:pPr>
    </w:p>
    <w:bookmarkStart w:id="4" w:name="page5"/>
    <w:bookmarkEnd w:id="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191770</wp:posOffset>
            </wp:positionH>
            <wp:positionV relativeFrom="page">
              <wp:posOffset>88900</wp:posOffset>
            </wp:positionV>
            <wp:extent cx="7212330" cy="54438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12330" cy="54438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 w:name="page6"/>
    <w:bookmarkEnd w:id="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191770</wp:posOffset>
            </wp:positionH>
            <wp:positionV relativeFrom="page">
              <wp:posOffset>88900</wp:posOffset>
            </wp:positionV>
            <wp:extent cx="7212330" cy="54438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12330" cy="54438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 w:name="page7"/>
    <w:bookmarkEnd w:id="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191770</wp:posOffset>
            </wp:positionH>
            <wp:positionV relativeFrom="page">
              <wp:posOffset>88900</wp:posOffset>
            </wp:positionV>
            <wp:extent cx="7212330" cy="54438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12330" cy="54438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 w:name="page8"/>
    <w:bookmarkEnd w:id="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191770</wp:posOffset>
            </wp:positionH>
            <wp:positionV relativeFrom="page">
              <wp:posOffset>88900</wp:posOffset>
            </wp:positionV>
            <wp:extent cx="7212330" cy="54438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12330" cy="54438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 w:name="page9"/>
    <w:bookmarkEnd w:id="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191770</wp:posOffset>
            </wp:positionH>
            <wp:positionV relativeFrom="page">
              <wp:posOffset>88900</wp:posOffset>
            </wp:positionV>
            <wp:extent cx="7212330" cy="54438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12330" cy="54438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 w:name="page10"/>
    <w:bookmarkEnd w:id="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191770</wp:posOffset>
            </wp:positionH>
            <wp:positionV relativeFrom="page">
              <wp:posOffset>88900</wp:posOffset>
            </wp:positionV>
            <wp:extent cx="7212330" cy="54438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12330" cy="54438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 w:name="page11"/>
    <w:bookmarkEnd w:id="1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191770</wp:posOffset>
            </wp:positionH>
            <wp:positionV relativeFrom="page">
              <wp:posOffset>88900</wp:posOffset>
            </wp:positionV>
            <wp:extent cx="7212330" cy="54438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12330" cy="54438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 w:name="page12"/>
    <w:bookmarkEnd w:id="1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191770</wp:posOffset>
            </wp:positionH>
            <wp:positionV relativeFrom="page">
              <wp:posOffset>88900</wp:posOffset>
            </wp:positionV>
            <wp:extent cx="7212330" cy="54438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12330" cy="54438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 w:name="page13"/>
    <w:bookmarkEnd w:id="1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191770</wp:posOffset>
            </wp:positionH>
            <wp:positionV relativeFrom="page">
              <wp:posOffset>88900</wp:posOffset>
            </wp:positionV>
            <wp:extent cx="7212330" cy="54438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12330" cy="54438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191770</wp:posOffset>
            </wp:positionH>
            <wp:positionV relativeFrom="page">
              <wp:posOffset>88900</wp:posOffset>
            </wp:positionV>
            <wp:extent cx="7212330" cy="54438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12330" cy="54438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191770</wp:posOffset>
            </wp:positionH>
            <wp:positionV relativeFrom="page">
              <wp:posOffset>88900</wp:posOffset>
            </wp:positionV>
            <wp:extent cx="7212330" cy="54438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12330" cy="54438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191770</wp:posOffset>
            </wp:positionH>
            <wp:positionV relativeFrom="page">
              <wp:posOffset>88900</wp:posOffset>
            </wp:positionV>
            <wp:extent cx="7212330" cy="54438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12330" cy="54438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191770</wp:posOffset>
            </wp:positionH>
            <wp:positionV relativeFrom="page">
              <wp:posOffset>88900</wp:posOffset>
            </wp:positionV>
            <wp:extent cx="7212330" cy="54438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12330" cy="54438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191770</wp:posOffset>
            </wp:positionH>
            <wp:positionV relativeFrom="page">
              <wp:posOffset>88900</wp:posOffset>
            </wp:positionV>
            <wp:extent cx="7212330" cy="54438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12330" cy="54438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191770</wp:posOffset>
            </wp:positionH>
            <wp:positionV relativeFrom="page">
              <wp:posOffset>88900</wp:posOffset>
            </wp:positionV>
            <wp:extent cx="7212330" cy="54438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12330" cy="54438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191770</wp:posOffset>
            </wp:positionH>
            <wp:positionV relativeFrom="page">
              <wp:posOffset>88900</wp:posOffset>
            </wp:positionV>
            <wp:extent cx="7212330" cy="54438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12330" cy="54438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191770</wp:posOffset>
            </wp:positionH>
            <wp:positionV relativeFrom="page">
              <wp:posOffset>88900</wp:posOffset>
            </wp:positionV>
            <wp:extent cx="7212330" cy="54438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12330" cy="54438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191770</wp:posOffset>
            </wp:positionH>
            <wp:positionV relativeFrom="page">
              <wp:posOffset>88900</wp:posOffset>
            </wp:positionV>
            <wp:extent cx="7212330" cy="54438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12330" cy="54438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191770</wp:posOffset>
            </wp:positionH>
            <wp:positionV relativeFrom="page">
              <wp:posOffset>88900</wp:posOffset>
            </wp:positionV>
            <wp:extent cx="7212330" cy="54438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12330" cy="54438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191770</wp:posOffset>
            </wp:positionH>
            <wp:positionV relativeFrom="page">
              <wp:posOffset>88900</wp:posOffset>
            </wp:positionV>
            <wp:extent cx="7212330" cy="54438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12330" cy="54438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 w:name="page25"/>
    <w:bookmarkEnd w:id="2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191770</wp:posOffset>
            </wp:positionH>
            <wp:positionV relativeFrom="page">
              <wp:posOffset>88900</wp:posOffset>
            </wp:positionV>
            <wp:extent cx="7212330" cy="54438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12330" cy="54438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 w:name="page26"/>
    <w:bookmarkEnd w:id="2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191770</wp:posOffset>
            </wp:positionH>
            <wp:positionV relativeFrom="page">
              <wp:posOffset>88900</wp:posOffset>
            </wp:positionV>
            <wp:extent cx="7212330" cy="54438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12330" cy="54438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 w:name="page27"/>
    <w:bookmarkEnd w:id="2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191770</wp:posOffset>
            </wp:positionH>
            <wp:positionV relativeFrom="page">
              <wp:posOffset>88900</wp:posOffset>
            </wp:positionV>
            <wp:extent cx="7181215" cy="3683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81215" cy="368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 w:name="page28"/>
    <w:bookmarkEnd w:id="2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191770</wp:posOffset>
            </wp:positionH>
            <wp:positionV relativeFrom="page">
              <wp:posOffset>88900</wp:posOffset>
            </wp:positionV>
            <wp:extent cx="7212330" cy="54438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12330" cy="54438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 w:name="page29"/>
    <w:bookmarkEnd w:id="2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191770</wp:posOffset>
            </wp:positionH>
            <wp:positionV relativeFrom="page">
              <wp:posOffset>88900</wp:posOffset>
            </wp:positionV>
            <wp:extent cx="7212330" cy="54438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12330" cy="54438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 w:name="page30"/>
    <w:bookmarkEnd w:id="2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191770</wp:posOffset>
            </wp:positionH>
            <wp:positionV relativeFrom="page">
              <wp:posOffset>88900</wp:posOffset>
            </wp:positionV>
            <wp:extent cx="7212330" cy="54438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12330" cy="54438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0" w:name="page31"/>
    <w:bookmarkEnd w:id="3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191770</wp:posOffset>
            </wp:positionH>
            <wp:positionV relativeFrom="page">
              <wp:posOffset>88900</wp:posOffset>
            </wp:positionV>
            <wp:extent cx="7212330" cy="54438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12330" cy="54438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1" w:name="page32"/>
    <w:bookmarkEnd w:id="3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191770</wp:posOffset>
            </wp:positionH>
            <wp:positionV relativeFrom="page">
              <wp:posOffset>88900</wp:posOffset>
            </wp:positionV>
            <wp:extent cx="7212330" cy="54438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12330" cy="54438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2" w:name="page33"/>
    <w:bookmarkEnd w:id="3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191770</wp:posOffset>
            </wp:positionH>
            <wp:positionV relativeFrom="page">
              <wp:posOffset>88900</wp:posOffset>
            </wp:positionV>
            <wp:extent cx="7212330" cy="54438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12330" cy="54438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3" w:name="page34"/>
    <w:bookmarkEnd w:id="3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191770</wp:posOffset>
            </wp:positionH>
            <wp:positionV relativeFrom="page">
              <wp:posOffset>88900</wp:posOffset>
            </wp:positionV>
            <wp:extent cx="7212330" cy="54438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12330" cy="54438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4" w:name="page35"/>
    <w:bookmarkEnd w:id="3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191770</wp:posOffset>
            </wp:positionH>
            <wp:positionV relativeFrom="page">
              <wp:posOffset>88900</wp:posOffset>
            </wp:positionV>
            <wp:extent cx="7212330" cy="54438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12330" cy="54438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5" w:name="page36"/>
    <w:bookmarkEnd w:id="3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191770</wp:posOffset>
            </wp:positionH>
            <wp:positionV relativeFrom="page">
              <wp:posOffset>88900</wp:posOffset>
            </wp:positionV>
            <wp:extent cx="7212330" cy="54438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12330" cy="54438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6" w:name="page37"/>
    <w:bookmarkEnd w:id="3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191770</wp:posOffset>
            </wp:positionH>
            <wp:positionV relativeFrom="page">
              <wp:posOffset>88900</wp:posOffset>
            </wp:positionV>
            <wp:extent cx="7212330" cy="54438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12330" cy="54438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7" w:name="page38"/>
    <w:bookmarkEnd w:id="3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191770</wp:posOffset>
            </wp:positionH>
            <wp:positionV relativeFrom="page">
              <wp:posOffset>88900</wp:posOffset>
            </wp:positionV>
            <wp:extent cx="7212330" cy="54438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12330" cy="54438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8" w:name="page39"/>
    <w:bookmarkEnd w:id="3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191770</wp:posOffset>
            </wp:positionH>
            <wp:positionV relativeFrom="page">
              <wp:posOffset>88900</wp:posOffset>
            </wp:positionV>
            <wp:extent cx="7212330" cy="54438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12330" cy="54438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9" w:name="page40"/>
    <w:bookmarkEnd w:id="3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191770</wp:posOffset>
            </wp:positionH>
            <wp:positionV relativeFrom="page">
              <wp:posOffset>88900</wp:posOffset>
            </wp:positionV>
            <wp:extent cx="7212330" cy="54438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12330" cy="54438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0" w:name="page41"/>
    <w:bookmarkEnd w:id="4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191770</wp:posOffset>
            </wp:positionH>
            <wp:positionV relativeFrom="page">
              <wp:posOffset>88900</wp:posOffset>
            </wp:positionV>
            <wp:extent cx="7212330" cy="54438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12330" cy="54438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1" w:name="page42"/>
    <w:bookmarkEnd w:id="4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191770</wp:posOffset>
            </wp:positionH>
            <wp:positionV relativeFrom="page">
              <wp:posOffset>88900</wp:posOffset>
            </wp:positionV>
            <wp:extent cx="7212330" cy="54438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12330" cy="54438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2" w:name="page43"/>
    <w:bookmarkEnd w:id="4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191770</wp:posOffset>
            </wp:positionH>
            <wp:positionV relativeFrom="page">
              <wp:posOffset>88900</wp:posOffset>
            </wp:positionV>
            <wp:extent cx="7212330" cy="54438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12330" cy="54438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3" w:name="page44"/>
    <w:bookmarkEnd w:id="4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191770</wp:posOffset>
            </wp:positionH>
            <wp:positionV relativeFrom="page">
              <wp:posOffset>88900</wp:posOffset>
            </wp:positionV>
            <wp:extent cx="7212330" cy="54438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12330" cy="54438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4" w:name="page45"/>
    <w:bookmarkEnd w:id="4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191770</wp:posOffset>
            </wp:positionH>
            <wp:positionV relativeFrom="page">
              <wp:posOffset>88900</wp:posOffset>
            </wp:positionV>
            <wp:extent cx="7212330" cy="54438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12330" cy="54438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5" w:name="page46"/>
    <w:bookmarkEnd w:id="4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191770</wp:posOffset>
            </wp:positionH>
            <wp:positionV relativeFrom="page">
              <wp:posOffset>88900</wp:posOffset>
            </wp:positionV>
            <wp:extent cx="7212330" cy="54438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12330" cy="54438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6" w:name="page47"/>
    <w:bookmarkEnd w:id="4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191770</wp:posOffset>
            </wp:positionH>
            <wp:positionV relativeFrom="page">
              <wp:posOffset>88900</wp:posOffset>
            </wp:positionV>
            <wp:extent cx="7212330" cy="54438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12330" cy="54438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7" w:name="page48"/>
    <w:bookmarkEnd w:id="4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191770</wp:posOffset>
            </wp:positionH>
            <wp:positionV relativeFrom="page">
              <wp:posOffset>88900</wp:posOffset>
            </wp:positionV>
            <wp:extent cx="7212330" cy="54438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12330" cy="54438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8" w:name="page49"/>
    <w:bookmarkEnd w:id="4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191770</wp:posOffset>
            </wp:positionH>
            <wp:positionV relativeFrom="page">
              <wp:posOffset>88900</wp:posOffset>
            </wp:positionV>
            <wp:extent cx="7212330" cy="54438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12330" cy="54438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9" w:name="page50"/>
    <w:bookmarkEnd w:id="4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191770</wp:posOffset>
            </wp:positionH>
            <wp:positionV relativeFrom="page">
              <wp:posOffset>88900</wp:posOffset>
            </wp:positionV>
            <wp:extent cx="7212330" cy="54438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12330" cy="54438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0" w:name="page51"/>
    <w:bookmarkEnd w:id="5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191770</wp:posOffset>
            </wp:positionH>
            <wp:positionV relativeFrom="page">
              <wp:posOffset>88900</wp:posOffset>
            </wp:positionV>
            <wp:extent cx="7212330" cy="54438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12330" cy="54438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1" w:name="page52"/>
    <w:bookmarkEnd w:id="5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191770</wp:posOffset>
            </wp:positionH>
            <wp:positionV relativeFrom="page">
              <wp:posOffset>88900</wp:posOffset>
            </wp:positionV>
            <wp:extent cx="7212330" cy="54438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12330" cy="54438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2" w:name="page53"/>
    <w:bookmarkEnd w:id="5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191770</wp:posOffset>
            </wp:positionH>
            <wp:positionV relativeFrom="page">
              <wp:posOffset>88900</wp:posOffset>
            </wp:positionV>
            <wp:extent cx="7212330" cy="54438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12330" cy="54438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3" w:name="page54"/>
    <w:bookmarkEnd w:id="5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191770</wp:posOffset>
            </wp:positionH>
            <wp:positionV relativeFrom="page">
              <wp:posOffset>88900</wp:posOffset>
            </wp:positionV>
            <wp:extent cx="7212330" cy="54438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12330" cy="5443855"/>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AE8944A"/>
    <w:multiLevelType w:val="hybridMultilevel"/>
    <w:lvl w:ilvl="0">
      <w:lvlJc w:val="left"/>
      <w:lvlText w:val="*"/>
      <w:numFmt w:val="bullet"/>
      <w:start w:val="1"/>
    </w:lvl>
  </w:abstractNum>
  <w:abstractNum w:abstractNumId="1">
    <w:nsid w:val="625558EC"/>
    <w:multiLevelType w:val="hybridMultilevel"/>
    <w:lvl w:ilvl="0">
      <w:lvlJc w:val="left"/>
      <w:lvlText w:val="**"/>
      <w:numFmt w:val="bullet"/>
      <w:start w:val="1"/>
    </w:lvl>
  </w:abstractNum>
  <w:abstractNum w:abstractNumId="2">
    <w:nsid w:val="238E1F29"/>
    <w:multiLevelType w:val="hybridMultilevel"/>
    <w:lvl w:ilvl="0">
      <w:lvlJc w:val="left"/>
      <w:lvlText w:val="☒"/>
      <w:numFmt w:val="bullet"/>
      <w:start w:val="1"/>
    </w:lvl>
  </w:abstractNum>
  <w:abstractNum w:abstractNumId="3">
    <w:nsid w:val="46E87CCD"/>
    <w:multiLevelType w:val="hybridMultilevel"/>
    <w:lvl w:ilvl="0">
      <w:lvlJc w:val="left"/>
      <w:lvlText w:val="☐"/>
      <w:numFmt w:val="bullet"/>
      <w:start w:val="1"/>
    </w:lvl>
  </w:abstractNum>
  <w:abstractNum w:abstractNumId="4">
    <w:nsid w:val="3D1B58BA"/>
    <w:multiLevelType w:val="hybridMultilevel"/>
    <w:lvl w:ilvl="0">
      <w:lvlJc w:val="left"/>
      <w:lvlText w:val="☒"/>
      <w:numFmt w:val="bullet"/>
      <w:start w:val="1"/>
    </w:lvl>
  </w:abstractNum>
  <w:abstractNum w:abstractNumId="5">
    <w:nsid w:val="507ED7AB"/>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jpe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2022-04-14T16:27:53Z</dcterms:created>
  <dcterms:modified xsi:type="dcterms:W3CDTF">2022-04-14T16:27:53Z</dcterms:modified>
</cp:coreProperties>
</file>