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29"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4"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44"/>
              <w:spacing w:after="0"/>
              <w:rPr>
                <w:sz w:val="20"/>
                <w:szCs w:val="20"/>
                <w:color w:val="auto"/>
              </w:rPr>
            </w:pPr>
            <w:r>
              <w:rPr>
                <w:rFonts w:ascii="Times New Roman" w:cs="Times New Roman" w:eastAsia="Times New Roman" w:hAnsi="Times New Roman"/>
                <w:sz w:val="14"/>
                <w:szCs w:val="14"/>
                <w:i w:val="1"/>
                <w:iCs w:val="1"/>
                <w:color w:val="auto"/>
              </w:rPr>
              <w:t>State of</w:t>
            </w:r>
          </w:p>
        </w:tc>
        <w:tc>
          <w:tcPr>
            <w:tcW w:w="2960" w:type="dxa"/>
            <w:vAlign w:val="bottom"/>
            <w:gridSpan w:val="2"/>
          </w:tcPr>
          <w:p>
            <w:pPr>
              <w:jc w:val="center"/>
              <w:ind w:left="443"/>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5"/>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960" w:type="dxa"/>
            <w:vAlign w:val="bottom"/>
            <w:tcBorders>
              <w:bottom w:val="single" w:sz="8" w:color="auto"/>
            </w:tcBorders>
            <w:gridSpan w:val="2"/>
          </w:tcPr>
          <w:p>
            <w:pPr>
              <w:jc w:val="center"/>
              <w:ind w:left="463"/>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22"/>
        </w:trPr>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6"/>
                <w:szCs w:val="16"/>
                <w:color w:val="auto"/>
              </w:rPr>
              <w:t>001-37976</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Delaware</w:t>
            </w:r>
          </w:p>
        </w:tc>
        <w:tc>
          <w:tcPr>
            <w:tcW w:w="2940" w:type="dxa"/>
            <w:vAlign w:val="bottom"/>
          </w:tcPr>
          <w:p>
            <w:pPr>
              <w:jc w:val="center"/>
              <w:ind w:left="483"/>
              <w:spacing w:after="0"/>
              <w:rPr>
                <w:sz w:val="20"/>
                <w:szCs w:val="20"/>
                <w:color w:val="auto"/>
              </w:rPr>
            </w:pPr>
            <w:r>
              <w:rPr>
                <w:rFonts w:ascii="Times New Roman" w:cs="Times New Roman" w:eastAsia="Times New Roman" w:hAnsi="Times New Roman"/>
                <w:sz w:val="16"/>
                <w:szCs w:val="16"/>
                <w:color w:val="auto"/>
              </w:rPr>
              <w:t>81-3881866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17"/>
        </w:trPr>
        <w:tc>
          <w:tcPr>
            <w:tcW w:w="136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1-7850</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California</w:t>
            </w:r>
          </w:p>
        </w:tc>
        <w:tc>
          <w:tcPr>
            <w:tcW w:w="2940" w:type="dxa"/>
            <w:vAlign w:val="bottom"/>
          </w:tcPr>
          <w:p>
            <w:pPr>
              <w:jc w:val="center"/>
              <w:ind w:left="483"/>
              <w:spacing w:after="0"/>
              <w:rPr>
                <w:sz w:val="20"/>
                <w:szCs w:val="20"/>
                <w:color w:val="auto"/>
              </w:rPr>
            </w:pPr>
            <w:r>
              <w:rPr>
                <w:rFonts w:ascii="Times New Roman" w:cs="Times New Roman" w:eastAsia="Times New Roman" w:hAnsi="Times New Roman"/>
                <w:sz w:val="16"/>
                <w:szCs w:val="16"/>
                <w:color w:val="auto"/>
              </w:rPr>
              <w:t>88-0085720</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jc w:val="center"/>
              <w:ind w:right="56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620" w:type="dxa"/>
            <w:vAlign w:val="bottom"/>
            <w:gridSpan w:val="4"/>
          </w:tcPr>
          <w:p>
            <w:pPr>
              <w:jc w:val="center"/>
              <w:ind w:left="339"/>
              <w:spacing w:after="0"/>
              <w:rPr>
                <w:sz w:val="20"/>
                <w:szCs w:val="20"/>
                <w:color w:val="auto"/>
              </w:rPr>
            </w:pPr>
            <w:r>
              <w:rPr>
                <w:rFonts w:ascii="Times New Roman" w:cs="Times New Roman" w:eastAsia="Times New Roman" w:hAnsi="Times New Roman"/>
                <w:sz w:val="16"/>
                <w:szCs w:val="16"/>
                <w:b w:val="1"/>
                <w:bCs w:val="1"/>
                <w:i w:val="1"/>
                <w:iCs w:val="1"/>
                <w:color w:val="auto"/>
              </w:rPr>
              <w:t>Southwest Gas Holdings, Inc.:</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2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506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6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Southwest Gas Corporation:</w:t>
      </w:r>
    </w:p>
    <w:p>
      <w:pPr>
        <w:spacing w:after="0" w:line="5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6"/>
          <w:szCs w:val="16"/>
          <w:color w:val="auto"/>
        </w:rPr>
        <w:t>None.</w:t>
      </w:r>
    </w:p>
    <w:p>
      <w:pPr>
        <w:spacing w:after="0" w:line="127"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96"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3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79"/>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53"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Corporation:</w:t>
            </w: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79"/>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6"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Times New Roman" w:cs="Times New Roman" w:eastAsia="Times New Roman" w:hAnsi="Times New Roman"/>
          <w:sz w:val="16"/>
          <w:szCs w:val="16"/>
          <w:color w:val="auto"/>
        </w:rPr>
        <w:t>Indicate by check mark whether each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color w:val="auto"/>
        </w:rPr>
        <w:t>Southwest Gas Holdings, Inc. Common Stock, $1 Par Value, 72,477,679 shares as of October 30, 2026.</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All of the outstanding shares of common stock ($1 par value) of Southwest Gas Corporation were held by Southwest Gas Holdings, Inc. as of October 30, 2026.</w:t>
      </w:r>
    </w:p>
    <w:p>
      <w:pPr>
        <w:sectPr>
          <w:pgSz w:w="11900" w:h="16838" w:orient="portrait"/>
          <w:cols w:equalWidth="0" w:num="1">
            <w:col w:w="11240"/>
          </w:cols>
          <w:pgMar w:left="320" w:top="461" w:right="339" w:bottom="1440" w:gutter="0" w:footer="0" w:header="0"/>
        </w:sectPr>
      </w:pPr>
    </w:p>
    <w:p>
      <w:pPr>
        <w:spacing w:after="0" w:line="118"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consolidated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440" w:type="dxa"/>
            <w:vAlign w:val="bottom"/>
          </w:tcPr>
          <w:p>
            <w:pPr>
              <w:spacing w:after="0"/>
              <w:rPr>
                <w:sz w:val="17"/>
                <w:szCs w:val="17"/>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c>
          <w:tcPr>
            <w:tcW w:w="0" w:type="dxa"/>
            <w:vAlign w:val="bottom"/>
          </w:tcPr>
          <w:p>
            <w:pPr>
              <w:spacing w:after="0"/>
              <w:rPr>
                <w:sz w:val="1"/>
                <w:szCs w:val="1"/>
                <w:color w:val="auto"/>
              </w:rPr>
            </w:pPr>
          </w:p>
        </w:tc>
      </w:tr>
      <w:tr>
        <w:trPr>
          <w:trHeight w:val="839"/>
        </w:trPr>
        <w:tc>
          <w:tcPr>
            <w:tcW w:w="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GLOSSARY OF KEY TERMS</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is a glossary of frequently used abbreviations or acronyms that are found throughout this report.</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tcBorders>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26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44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1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260" w:type="dxa"/>
            <w:vAlign w:val="bottom"/>
            <w:tcBorders>
              <w:bottom w:val="single" w:sz="8" w:color="auto"/>
              <w:right w:val="single" w:sz="8" w:color="auto"/>
            </w:tcBorders>
            <w:gridSpan w:val="3"/>
            <w:vMerge w:val="continue"/>
          </w:tcPr>
          <w:p>
            <w:pPr>
              <w:spacing w:after="0"/>
              <w:rPr>
                <w:sz w:val="21"/>
                <w:szCs w:val="21"/>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1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Arizona Corporation Commission</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FERC</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0" w:type="dxa"/>
            <w:vAlign w:val="bottom"/>
          </w:tcPr>
          <w:p>
            <w:pPr>
              <w:spacing w:after="0"/>
              <w:rPr>
                <w:sz w:val="1"/>
                <w:szCs w:val="1"/>
                <w:color w:val="auto"/>
              </w:rPr>
            </w:pPr>
          </w:p>
        </w:tc>
      </w:tr>
      <w:tr>
        <w:trPr>
          <w:trHeight w:val="189"/>
        </w:trPr>
        <w:tc>
          <w:tcPr>
            <w:tcW w:w="60" w:type="dxa"/>
            <w:vAlign w:val="bottom"/>
            <w:tcBorders>
              <w:left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4120" w:type="dxa"/>
            <w:vAlign w:val="bottom"/>
            <w:tcBorders>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Accounting principles generally accepted in the</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AFUDC</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189"/>
        </w:trPr>
        <w:tc>
          <w:tcPr>
            <w:tcW w:w="60" w:type="dxa"/>
            <w:vAlign w:val="bottom"/>
            <w:tcBorders>
              <w:left w:val="single" w:sz="8" w:color="auto"/>
            </w:tcBorders>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260" w:type="dxa"/>
            <w:vAlign w:val="bottom"/>
            <w:tcBorders>
              <w:right w:val="single" w:sz="8" w:color="auto"/>
            </w:tcBorders>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Filed in September 2025 agreeing to a revenue increase,</w:t>
            </w:r>
          </w:p>
        </w:tc>
        <w:tc>
          <w:tcPr>
            <w:tcW w:w="1440" w:type="dxa"/>
            <w:vAlign w:val="bottom"/>
            <w:shd w:val="clear" w:color="auto" w:fill="CCEEFF"/>
          </w:tcPr>
          <w:p>
            <w:pPr>
              <w:spacing w:after="0"/>
              <w:rPr>
                <w:sz w:val="16"/>
                <w:szCs w:val="16"/>
                <w:color w:val="auto"/>
              </w:rPr>
            </w:pPr>
          </w:p>
        </w:tc>
        <w:tc>
          <w:tcPr>
            <w:tcW w:w="4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auto"/>
            </w:tcBorders>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260" w:type="dxa"/>
            <w:vAlign w:val="bottom"/>
            <w:tcBorders>
              <w:right w:val="single" w:sz="8" w:color="auto"/>
            </w:tcBorders>
            <w:gridSpan w:val="3"/>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before consideration of the litigated capital structure and</w:t>
            </w:r>
          </w:p>
        </w:tc>
        <w:tc>
          <w:tcPr>
            <w:tcW w:w="1440" w:type="dxa"/>
            <w:vAlign w:val="bottom"/>
            <w:shd w:val="clear" w:color="auto" w:fill="CCEEFF"/>
          </w:tcPr>
          <w:p>
            <w:pPr>
              <w:spacing w:after="0"/>
              <w:rPr>
                <w:sz w:val="16"/>
                <w:szCs w:val="16"/>
                <w:color w:val="auto"/>
              </w:rPr>
            </w:pPr>
          </w:p>
        </w:tc>
        <w:tc>
          <w:tcPr>
            <w:tcW w:w="4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00" w:type="dxa"/>
            <w:vAlign w:val="bottom"/>
            <w:tcBorders>
              <w:left w:val="single" w:sz="8" w:color="auto"/>
              <w:right w:val="single" w:sz="8" w:color="auto"/>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All-Party Settlement cost of capital.</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GCBA</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Gas Cost Balancing Account</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AOCI</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GRA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General Revenues Adjustment</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ARA</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Annual Rate Adjustment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 Basin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Great Basin Gas Transmission Company</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MD&amp;A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ATM</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Automatic Trigger Mechanism</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PBOP</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ATM program</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At-the-market equity offering program</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PGA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Purchased Gas Adjustment</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Bcf</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Billion cubic feet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PUCN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 Utilities Commission of Nevada</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Board</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Board of Directors of Southwest Gas Holdings, Inc.</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QRP</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Qualified Retirement Plan</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CEO</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Rate Adjustment Mechanism</w:t>
            </w: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tcBorders>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Centuri, or Utility</w:t>
            </w:r>
          </w:p>
        </w:tc>
        <w:tc>
          <w:tcPr>
            <w:tcW w:w="426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Centuri Group, Inc. for periods prior to April 22, 2024,</w:t>
            </w:r>
          </w:p>
        </w:tc>
        <w:tc>
          <w:tcPr>
            <w:tcW w:w="1440" w:type="dxa"/>
            <w:vAlign w:val="bottom"/>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40" w:type="dxa"/>
            <w:vAlign w:val="bottom"/>
            <w:tcBorders>
              <w:lef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Infrastructure</w:t>
            </w:r>
          </w:p>
        </w:tc>
        <w:tc>
          <w:tcPr>
            <w:tcW w:w="4260" w:type="dxa"/>
            <w:vAlign w:val="bottom"/>
            <w:tcBorders>
              <w:right w:val="single" w:sz="8" w:color="auto"/>
            </w:tcBorders>
            <w:gridSpan w:val="3"/>
            <w:vMerge w:val="continue"/>
          </w:tcPr>
          <w:p>
            <w:pPr>
              <w:spacing w:after="0"/>
              <w:rPr>
                <w:sz w:val="15"/>
                <w:szCs w:val="15"/>
                <w:color w:val="auto"/>
              </w:rPr>
            </w:pPr>
          </w:p>
        </w:tc>
        <w:tc>
          <w:tcPr>
            <w:tcW w:w="144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or subsequently, Centuri Holdings, Inc.</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Reform Act</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Private Securities Litigation Reform Act of 1995</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CODM</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operating decision maker</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Natural Gas</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COLI</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SB</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Senate Bill</w:t>
            </w:r>
          </w:p>
        </w:tc>
        <w:tc>
          <w:tcPr>
            <w:tcW w:w="0" w:type="dxa"/>
            <w:vAlign w:val="bottom"/>
          </w:tcPr>
          <w:p>
            <w:pPr>
              <w:spacing w:after="0"/>
              <w:rPr>
                <w:sz w:val="1"/>
                <w:szCs w:val="1"/>
                <w:color w:val="auto"/>
              </w:rPr>
            </w:pPr>
          </w:p>
        </w:tc>
      </w:tr>
      <w:tr>
        <w:trPr>
          <w:trHeight w:val="189"/>
        </w:trPr>
        <w:tc>
          <w:tcPr>
            <w:tcW w:w="60" w:type="dxa"/>
            <w:vAlign w:val="bottom"/>
            <w:tcBorders>
              <w:left w:val="single" w:sz="8" w:color="auto"/>
            </w:tcBorders>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260" w:type="dxa"/>
            <w:vAlign w:val="bottom"/>
            <w:tcBorders>
              <w:right w:val="single" w:sz="8" w:color="auto"/>
            </w:tcBorders>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Southwest Gas Holdings, Inc. (together with its</w:t>
            </w:r>
          </w:p>
        </w:tc>
        <w:tc>
          <w:tcPr>
            <w:tcW w:w="1440" w:type="dxa"/>
            <w:vAlign w:val="bottom"/>
            <w:shd w:val="clear" w:color="auto" w:fill="CCEEFF"/>
          </w:tcPr>
          <w:p>
            <w:pPr>
              <w:spacing w:after="0"/>
              <w:rPr>
                <w:sz w:val="16"/>
                <w:szCs w:val="16"/>
                <w:color w:val="auto"/>
              </w:rPr>
            </w:pPr>
          </w:p>
        </w:tc>
        <w:tc>
          <w:tcPr>
            <w:tcW w:w="4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COYL</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Customer-Owned Yard Line</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SERP</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CPUC</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California Public Utilities Commission</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System Integrity Mechanism</w:t>
            </w:r>
          </w:p>
        </w:tc>
        <w:tc>
          <w:tcPr>
            <w:tcW w:w="0" w:type="dxa"/>
            <w:vAlign w:val="bottom"/>
          </w:tcPr>
          <w:p>
            <w:pPr>
              <w:spacing w:after="0"/>
              <w:rPr>
                <w:sz w:val="1"/>
                <w:szCs w:val="1"/>
                <w:color w:val="auto"/>
              </w:rPr>
            </w:pPr>
          </w:p>
        </w:tc>
      </w:tr>
      <w:tr>
        <w:trPr>
          <w:trHeight w:val="189"/>
        </w:trPr>
        <w:tc>
          <w:tcPr>
            <w:tcW w:w="60" w:type="dxa"/>
            <w:vAlign w:val="bottom"/>
            <w:tcBorders>
              <w:left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1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Southwest Gas, or</w:t>
            </w:r>
          </w:p>
        </w:tc>
        <w:tc>
          <w:tcPr>
            <w:tcW w:w="4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14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Natural Gas</w:t>
            </w:r>
          </w:p>
        </w:tc>
        <w:tc>
          <w:tcPr>
            <w:tcW w:w="4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DCA</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Delivery Charge Adjustment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Southwest Gas Corporation and its subsidiaries</w:t>
            </w:r>
          </w:p>
        </w:tc>
        <w:tc>
          <w:tcPr>
            <w:tcW w:w="0" w:type="dxa"/>
            <w:vAlign w:val="bottom"/>
          </w:tcPr>
          <w:p>
            <w:pPr>
              <w:spacing w:after="0"/>
              <w:rPr>
                <w:sz w:val="1"/>
                <w:szCs w:val="1"/>
                <w:color w:val="auto"/>
              </w:rPr>
            </w:pPr>
          </w:p>
        </w:tc>
      </w:tr>
      <w:tr>
        <w:trPr>
          <w:trHeight w:val="189"/>
        </w:trPr>
        <w:tc>
          <w:tcPr>
            <w:tcW w:w="60" w:type="dxa"/>
            <w:vAlign w:val="bottom"/>
            <w:tcBorders>
              <w:left w:val="single" w:sz="8" w:color="auto"/>
            </w:tcBorders>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40" w:type="dxa"/>
            <w:vAlign w:val="bottom"/>
            <w:tcBorders>
              <w:right w:val="single" w:sz="8" w:color="auto"/>
            </w:tcBorders>
            <w:shd w:val="clear" w:color="auto" w:fill="CCEEFF"/>
          </w:tcPr>
          <w:p>
            <w:pPr>
              <w:spacing w:after="0"/>
              <w:rPr>
                <w:sz w:val="16"/>
                <w:szCs w:val="16"/>
                <w:color w:val="auto"/>
              </w:rPr>
            </w:pPr>
          </w:p>
        </w:tc>
        <w:tc>
          <w:tcPr>
            <w:tcW w:w="1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Southwest Gas</w:t>
            </w:r>
          </w:p>
        </w:tc>
        <w:tc>
          <w:tcPr>
            <w:tcW w:w="4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DEAA</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Energy Accounting Adjustment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Holdings</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Southwest Gas Holdings, Inc. (standalone)</w:t>
            </w:r>
          </w:p>
        </w:tc>
        <w:tc>
          <w:tcPr>
            <w:tcW w:w="0" w:type="dxa"/>
            <w:vAlign w:val="bottom"/>
          </w:tcPr>
          <w:p>
            <w:pPr>
              <w:spacing w:after="0"/>
              <w:rPr>
                <w:sz w:val="1"/>
                <w:szCs w:val="1"/>
                <w:color w:val="auto"/>
              </w:rPr>
            </w:pPr>
          </w:p>
        </w:tc>
      </w:tr>
      <w:tr>
        <w:trPr>
          <w:trHeight w:val="189"/>
        </w:trPr>
        <w:tc>
          <w:tcPr>
            <w:tcW w:w="60" w:type="dxa"/>
            <w:vAlign w:val="bottom"/>
            <w:tcBorders>
              <w:left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4260" w:type="dxa"/>
            <w:vAlign w:val="bottom"/>
            <w:tcBorders>
              <w:right w:val="single" w:sz="8" w:color="auto"/>
            </w:tcBorders>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A specified range, approved by the ACC, around an</w:t>
            </w:r>
          </w:p>
        </w:tc>
        <w:tc>
          <w:tcPr>
            <w:tcW w:w="1440" w:type="dxa"/>
            <w:vAlign w:val="bottom"/>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4260" w:type="dxa"/>
            <w:vAlign w:val="bottom"/>
            <w:tcBorders>
              <w:right w:val="single" w:sz="8" w:color="auto"/>
            </w:tcBorders>
            <w:gridSpan w:val="3"/>
          </w:tcPr>
          <w:p>
            <w:pPr>
              <w:ind w:left="120"/>
              <w:spacing w:after="0" w:line="184" w:lineRule="exact"/>
              <w:rPr>
                <w:sz w:val="20"/>
                <w:szCs w:val="20"/>
                <w:color w:val="auto"/>
              </w:rPr>
            </w:pPr>
            <w:r>
              <w:rPr>
                <w:rFonts w:ascii="Times New Roman" w:cs="Times New Roman" w:eastAsia="Times New Roman" w:hAnsi="Times New Roman"/>
                <w:sz w:val="18"/>
                <w:szCs w:val="18"/>
                <w:color w:val="auto"/>
              </w:rPr>
              <w:t>authorized return on equity within which a utility’s</w:t>
            </w:r>
          </w:p>
        </w:tc>
        <w:tc>
          <w:tcPr>
            <w:tcW w:w="1440" w:type="dxa"/>
            <w:vAlign w:val="bottom"/>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4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Deadband</w:t>
            </w:r>
          </w:p>
        </w:tc>
        <w:tc>
          <w:tcPr>
            <w:tcW w:w="4260" w:type="dxa"/>
            <w:vAlign w:val="bottom"/>
            <w:tcBorders>
              <w:right w:val="single" w:sz="8" w:color="auto"/>
            </w:tcBorders>
            <w:gridSpan w:val="3"/>
          </w:tcPr>
          <w:p>
            <w:pPr>
              <w:ind w:left="120"/>
              <w:spacing w:after="0" w:line="181" w:lineRule="exact"/>
              <w:rPr>
                <w:sz w:val="20"/>
                <w:szCs w:val="20"/>
                <w:color w:val="auto"/>
              </w:rPr>
            </w:pPr>
            <w:r>
              <w:rPr>
                <w:rFonts w:ascii="Times New Roman" w:cs="Times New Roman" w:eastAsia="Times New Roman" w:hAnsi="Times New Roman"/>
                <w:sz w:val="18"/>
                <w:szCs w:val="18"/>
                <w:color w:val="auto"/>
              </w:rPr>
              <w:t>earnings are allowed to fluctuate without triggering an</w:t>
            </w:r>
          </w:p>
        </w:tc>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SOFR</w:t>
            </w:r>
          </w:p>
        </w:tc>
        <w:tc>
          <w:tcPr>
            <w:tcW w:w="41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vMerge w:val="continue"/>
          </w:tcPr>
          <w:p>
            <w:pPr>
              <w:spacing w:after="0"/>
              <w:rPr>
                <w:sz w:val="19"/>
                <w:szCs w:val="19"/>
                <w:color w:val="auto"/>
              </w:rPr>
            </w:pP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annual rate adjustment.</w:t>
            </w:r>
          </w:p>
        </w:tc>
        <w:tc>
          <w:tcPr>
            <w:tcW w:w="1440" w:type="dxa"/>
            <w:vAlign w:val="bottom"/>
            <w:vMerge w:val="continue"/>
          </w:tcPr>
          <w:p>
            <w:pPr>
              <w:spacing w:after="0"/>
              <w:rPr>
                <w:sz w:val="19"/>
                <w:szCs w:val="19"/>
                <w:color w:val="auto"/>
              </w:rPr>
            </w:pPr>
          </w:p>
        </w:tc>
        <w:tc>
          <w:tcPr>
            <w:tcW w:w="41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EADIT</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Excess Accumulated Deferred Income Taxes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TEAM</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Expense Adjustor Mechanism</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VIER</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Interest Expense Recovery</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426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44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70" w:right="319"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quarterly report contains statements which constitute “forward-looking statements” within the meaning of the Reform Act, Section 27A of the Securities Act of 1933, as amended, and Section 21E of the Exchange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“potential,” “continue,” “forecast,” “intend,” “endeavor,” “promote,” “seek,” “pursue,” and similar words and expressions are generally used and intended to identify forward-looking statements. For example, statements regarding Operating margin patterns, customer growth, the composition of our customer base, price volatility, utility optimization initiatives, the level of expense or cost containment, seasonal patterns, the ability to pay debt, and the disposition in any regulatory proceeding of bonus depreciation tax deductions, tariffs, the impact of any Pipeline and Hazardous Materials Safety Administration rulemaking or proposed rulemaking, the amounts and timing for completion of estimated future capital expenditures, forecasted operating cash flows and results of operations, net earnings impacts or recovery of costs from gas infrastructure replacements, programs and mechanisms, or other mechanisms,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the ability to preserve investment-grade credit ratings, changes in bank lending practices, the Company’s views regarding its liquidity position, ability to raise funds and receive external financing capacity and the intent and ability to issue various financing instruments and stock under our ATM program or otherwise, expectations with respect to future dividends and the Board’s current payout strategy, pension and postretirement benefits, assumptions used and the expectations regarding the treasury futures overlay, the effect of any other rate changes or regulatory proceedings, impacts of adopted or future ASUs, statements regarding future gas prices, gas purchase contracts and pipeline imbalance charges or claims related thereto, recoverability of regulatory assets, the impact of certain legal proceedings or claims, the funding, timing and scope of the Great Basin 2028 expansion project and potential other future expansion projects, including the receipt of required regulatory approvals and authorizations, the expected timing, and fulfillment of Great Basin backlog performance obligations and the amounts expected to be recognized in future periods, the timing and magnitude of refunds of over-collected purchased gas cost balances and their impact on liquidity, the timing and results of future rate hearings, including any ongoing or future general rate cases and other proceedings, and pending approvals, including proposed regulatory mechanisms and alternative ratemaking, or references to impacts believed to be timing-related, are forward-looking statements.</w:t>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number of important factors affecting the business and financial results of the Company could cause actual results to differ materially from those stated in the forward-looking statements. For a discussion of these and other factors that could impact future results,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Item 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Quantitative and Qualitative Disclosures About Market Risk </w:t>
      </w:r>
      <w:r>
        <w:rPr>
          <w:rFonts w:ascii="Times New Roman" w:cs="Times New Roman" w:eastAsia="Times New Roman" w:hAnsi="Times New Roman"/>
          <w:sz w:val="18"/>
          <w:szCs w:val="18"/>
          <w:color w:val="auto"/>
        </w:rPr>
        <w:t>in the Annual Report on Form 10-K for the year ended December 31, 2025.</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forward-looking statements in this quarterly report are made as of the date hereof, based on information available to the Company and Southwest Gas as of the date hereof, and the Company and Southwest Gas assume no obligation to update or revise any of their forward-looking statements, even if experience or future changes show that the indicated results or events will not be realized. </w:t>
      </w:r>
      <w:r>
        <w:rPr>
          <w:rFonts w:ascii="Times New Roman" w:cs="Times New Roman" w:eastAsia="Times New Roman" w:hAnsi="Times New Roman"/>
          <w:sz w:val="18"/>
          <w:szCs w:val="18"/>
          <w:b w:val="1"/>
          <w:bCs w:val="1"/>
          <w:color w:val="auto"/>
        </w:rPr>
        <w:t>We caution you not to unduly rely on any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 2026</w:t>
            </w:r>
          </w:p>
        </w:tc>
        <w:tc>
          <w:tcPr>
            <w:tcW w:w="1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Regulated operations plant:</w:t>
            </w: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Gas plant</w:t>
            </w:r>
          </w:p>
        </w:tc>
        <w:tc>
          <w:tcPr>
            <w:tcW w:w="2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12,077,830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11,517,031</w:t>
            </w:r>
          </w:p>
        </w:tc>
        <w:tc>
          <w:tcPr>
            <w:tcW w:w="0" w:type="dxa"/>
            <w:vAlign w:val="bottom"/>
          </w:tcPr>
          <w:p>
            <w:pPr>
              <w:spacing w:after="0"/>
              <w:rPr>
                <w:sz w:val="1"/>
                <w:szCs w:val="1"/>
                <w:color w:val="auto"/>
              </w:rPr>
            </w:pPr>
          </w:p>
        </w:tc>
      </w:tr>
      <w:tr>
        <w:trPr>
          <w:trHeight w:val="243"/>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(3,201,513)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(3,063,363)</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400,857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236,871</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regulated operations plant</w:t>
            </w:r>
          </w:p>
        </w:tc>
        <w:tc>
          <w:tcPr>
            <w:tcW w:w="2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9,277,174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8,690,539</w:t>
            </w:r>
          </w:p>
        </w:tc>
        <w:tc>
          <w:tcPr>
            <w:tcW w:w="0" w:type="dxa"/>
            <w:vAlign w:val="bottom"/>
          </w:tcPr>
          <w:p>
            <w:pPr>
              <w:spacing w:after="0"/>
              <w:rPr>
                <w:sz w:val="1"/>
                <w:szCs w:val="1"/>
                <w:color w:val="auto"/>
              </w:rPr>
            </w:pPr>
          </w:p>
        </w:tc>
      </w:tr>
      <w:tr>
        <w:trPr>
          <w:trHeight w:val="23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 net</w:t>
            </w:r>
          </w:p>
        </w:tc>
        <w:tc>
          <w:tcPr>
            <w:tcW w:w="24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178,826</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576,645</w:t>
            </w:r>
          </w:p>
        </w:tc>
        <w:tc>
          <w:tcPr>
            <w:tcW w:w="0" w:type="dxa"/>
            <w:vAlign w:val="bottom"/>
          </w:tcPr>
          <w:p>
            <w:pPr>
              <w:spacing w:after="0"/>
              <w:rPr>
                <w:sz w:val="1"/>
                <w:szCs w:val="1"/>
                <w:color w:val="auto"/>
              </w:rPr>
            </w:pPr>
          </w:p>
        </w:tc>
      </w:tr>
      <w:tr>
        <w:trPr>
          <w:trHeight w:val="243"/>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170,601</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utility revenue</w:t>
            </w:r>
          </w:p>
        </w:tc>
        <w:tc>
          <w:tcPr>
            <w:tcW w:w="2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101,600</w:t>
            </w:r>
          </w:p>
        </w:tc>
        <w:tc>
          <w:tcPr>
            <w:tcW w:w="0" w:type="dxa"/>
            <w:vAlign w:val="bottom"/>
          </w:tcPr>
          <w:p>
            <w:pPr>
              <w:spacing w:after="0"/>
              <w:rPr>
                <w:sz w:val="1"/>
                <w:szCs w:val="1"/>
                <w:color w:val="auto"/>
              </w:rPr>
            </w:pPr>
          </w:p>
        </w:tc>
      </w:tr>
      <w:tr>
        <w:trPr>
          <w:trHeight w:val="243"/>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receivable, net</w:t>
            </w: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purchased gas costs</w:t>
            </w:r>
          </w:p>
        </w:tc>
        <w:tc>
          <w:tcPr>
            <w:tcW w:w="2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0" w:type="dxa"/>
            <w:vAlign w:val="bottom"/>
          </w:tcPr>
          <w:p>
            <w:pPr>
              <w:spacing w:after="0"/>
              <w:rPr>
                <w:sz w:val="1"/>
                <w:szCs w:val="1"/>
                <w:color w:val="auto"/>
              </w:rPr>
            </w:pPr>
          </w:p>
        </w:tc>
      </w:tr>
      <w:tr>
        <w:trPr>
          <w:trHeight w:val="243"/>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Materials, supplies, and gas inventories</w:t>
            </w: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93,823</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234,598</w:t>
            </w:r>
          </w:p>
        </w:tc>
        <w:tc>
          <w:tcPr>
            <w:tcW w:w="0" w:type="dxa"/>
            <w:vAlign w:val="bottom"/>
          </w:tcPr>
          <w:p>
            <w:pPr>
              <w:spacing w:after="0"/>
              <w:rPr>
                <w:sz w:val="1"/>
                <w:szCs w:val="1"/>
                <w:color w:val="auto"/>
              </w:rPr>
            </w:pPr>
          </w:p>
        </w:tc>
      </w:tr>
      <w:tr>
        <w:trPr>
          <w:trHeight w:val="237"/>
        </w:trPr>
        <w:tc>
          <w:tcPr>
            <w:tcW w:w="4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1,192,092</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4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427,041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356,865</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438,196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368,020</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10,566,068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10,429,477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CAPITALIZATION AND LIABILITIES</w:t>
            </w:r>
          </w:p>
        </w:tc>
        <w:tc>
          <w:tcPr>
            <w:tcW w:w="2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60" w:type="dxa"/>
            <w:vAlign w:val="bottom"/>
            <w:vMerge w:val="continue"/>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9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$1 par (authorized - 120,000,000 shares;</w:t>
            </w: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- 72,467,080 and 72,224,593 shares)</w:t>
            </w:r>
          </w:p>
        </w:tc>
        <w:tc>
          <w:tcPr>
            <w:tcW w:w="2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73,854</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2,916,385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2,898,965</w:t>
            </w:r>
          </w:p>
        </w:tc>
        <w:tc>
          <w:tcPr>
            <w:tcW w:w="0" w:type="dxa"/>
            <w:vAlign w:val="bottom"/>
          </w:tcPr>
          <w:p>
            <w:pPr>
              <w:spacing w:after="0"/>
              <w:rPr>
                <w:sz w:val="1"/>
                <w:szCs w:val="1"/>
                <w:color w:val="auto"/>
              </w:rPr>
            </w:pPr>
          </w:p>
        </w:tc>
      </w:tr>
      <w:tr>
        <w:trPr>
          <w:trHeight w:val="243"/>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(34,546)</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4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1,121,577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1,022,846</w:t>
            </w:r>
          </w:p>
        </w:tc>
        <w:tc>
          <w:tcPr>
            <w:tcW w:w="0" w:type="dxa"/>
            <w:vAlign w:val="bottom"/>
          </w:tcPr>
          <w:p>
            <w:pPr>
              <w:spacing w:after="0"/>
              <w:rPr>
                <w:sz w:val="1"/>
                <w:szCs w:val="1"/>
                <w:color w:val="auto"/>
              </w:rPr>
            </w:pPr>
          </w:p>
        </w:tc>
      </w:tr>
      <w:tr>
        <w:trPr>
          <w:trHeight w:val="236"/>
        </w:trPr>
        <w:tc>
          <w:tcPr>
            <w:tcW w:w="4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4,101,999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3,961,119</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4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3,499,280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3,433,012</w:t>
            </w:r>
          </w:p>
        </w:tc>
        <w:tc>
          <w:tcPr>
            <w:tcW w:w="0" w:type="dxa"/>
            <w:vAlign w:val="bottom"/>
          </w:tcPr>
          <w:p>
            <w:pPr>
              <w:spacing w:after="0"/>
              <w:rPr>
                <w:sz w:val="1"/>
                <w:szCs w:val="1"/>
                <w:color w:val="auto"/>
              </w:rPr>
            </w:pPr>
          </w:p>
        </w:tc>
      </w:tr>
      <w:tr>
        <w:trPr>
          <w:trHeight w:val="236"/>
        </w:trPr>
        <w:tc>
          <w:tcPr>
            <w:tcW w:w="4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2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7,601,279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7,394,131</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225,732</w:t>
            </w:r>
          </w:p>
        </w:tc>
        <w:tc>
          <w:tcPr>
            <w:tcW w:w="0" w:type="dxa"/>
            <w:vAlign w:val="bottom"/>
          </w:tcPr>
          <w:p>
            <w:pPr>
              <w:spacing w:after="0"/>
              <w:rPr>
                <w:sz w:val="1"/>
                <w:szCs w:val="1"/>
                <w:color w:val="auto"/>
              </w:rPr>
            </w:pPr>
          </w:p>
        </w:tc>
      </w:tr>
      <w:tr>
        <w:trPr>
          <w:trHeight w:val="243"/>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deposits</w:t>
            </w: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67,249</w:t>
            </w: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general taxes</w:t>
            </w:r>
          </w:p>
        </w:tc>
        <w:tc>
          <w:tcPr>
            <w:tcW w:w="2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54,384</w:t>
            </w:r>
          </w:p>
        </w:tc>
        <w:tc>
          <w:tcPr>
            <w:tcW w:w="0" w:type="dxa"/>
            <w:vAlign w:val="bottom"/>
          </w:tcPr>
          <w:p>
            <w:pPr>
              <w:spacing w:after="0"/>
              <w:rPr>
                <w:sz w:val="1"/>
                <w:szCs w:val="1"/>
                <w:color w:val="auto"/>
              </w:rPr>
            </w:pPr>
          </w:p>
        </w:tc>
      </w:tr>
      <w:tr>
        <w:trPr>
          <w:trHeight w:val="324"/>
        </w:trPr>
        <w:tc>
          <w:tcPr>
            <w:tcW w:w="4960" w:type="dxa"/>
            <w:vAlign w:val="bottom"/>
          </w:tcPr>
          <w:p>
            <w:pPr>
              <w:spacing w:after="0"/>
              <w:rPr>
                <w:sz w:val="24"/>
                <w:szCs w:val="24"/>
                <w:color w:val="auto"/>
              </w:rPr>
            </w:pPr>
          </w:p>
        </w:tc>
        <w:tc>
          <w:tcPr>
            <w:tcW w:w="24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9A9A9A"/>
            </w:tcBorders>
          </w:tcPr>
          <w:p>
            <w:pPr>
              <w:spacing w:after="0"/>
              <w:rPr>
                <w:sz w:val="18"/>
                <w:szCs w:val="18"/>
                <w:color w:val="auto"/>
              </w:rPr>
            </w:pPr>
          </w:p>
        </w:tc>
        <w:tc>
          <w:tcPr>
            <w:tcW w:w="24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817"/>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7"/>
        </w:trPr>
        <w:tc>
          <w:tcPr>
            <w:tcW w:w="60" w:type="dxa"/>
            <w:vAlign w:val="bottom"/>
          </w:tcPr>
          <w:p>
            <w:pPr>
              <w:spacing w:after="0"/>
              <w:rPr>
                <w:sz w:val="20"/>
                <w:szCs w:val="20"/>
                <w:color w:val="auto"/>
              </w:rPr>
            </w:pPr>
          </w:p>
        </w:tc>
        <w:tc>
          <w:tcPr>
            <w:tcW w:w="72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w:t>
            </w:r>
          </w:p>
        </w:tc>
      </w:tr>
      <w:tr>
        <w:trPr>
          <w:trHeight w:val="243"/>
        </w:trPr>
        <w:tc>
          <w:tcPr>
            <w:tcW w:w="60" w:type="dxa"/>
            <w:vAlign w:val="bottom"/>
            <w:shd w:val="clear" w:color="auto" w:fill="CCEEFF"/>
          </w:tcPr>
          <w:p>
            <w:pPr>
              <w:spacing w:after="0"/>
              <w:rPr>
                <w:sz w:val="21"/>
                <w:szCs w:val="21"/>
                <w:color w:val="auto"/>
              </w:rPr>
            </w:pPr>
          </w:p>
        </w:tc>
        <w:tc>
          <w:tcPr>
            <w:tcW w:w="72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purchased gas costs</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310,085</w:t>
            </w:r>
          </w:p>
        </w:tc>
      </w:tr>
      <w:tr>
        <w:trPr>
          <w:trHeight w:val="243"/>
        </w:trPr>
        <w:tc>
          <w:tcPr>
            <w:tcW w:w="60" w:type="dxa"/>
            <w:vAlign w:val="bottom"/>
          </w:tcPr>
          <w:p>
            <w:pPr>
              <w:spacing w:after="0"/>
              <w:rPr>
                <w:sz w:val="21"/>
                <w:szCs w:val="21"/>
                <w:color w:val="auto"/>
              </w:rPr>
            </w:pPr>
          </w:p>
        </w:tc>
        <w:tc>
          <w:tcPr>
            <w:tcW w:w="72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tcPr>
          <w:p>
            <w:pPr>
              <w:spacing w:after="0"/>
              <w:rPr>
                <w:sz w:val="21"/>
                <w:szCs w:val="21"/>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44,779</w:t>
            </w:r>
          </w:p>
        </w:tc>
      </w:tr>
      <w:tr>
        <w:trPr>
          <w:trHeight w:val="243"/>
        </w:trPr>
        <w:tc>
          <w:tcPr>
            <w:tcW w:w="60" w:type="dxa"/>
            <w:vAlign w:val="bottom"/>
            <w:shd w:val="clear" w:color="auto" w:fill="CCEEFF"/>
          </w:tcPr>
          <w:p>
            <w:pPr>
              <w:spacing w:after="0"/>
              <w:rPr>
                <w:sz w:val="21"/>
                <w:szCs w:val="21"/>
                <w:color w:val="auto"/>
              </w:rPr>
            </w:pPr>
          </w:p>
        </w:tc>
        <w:tc>
          <w:tcPr>
            <w:tcW w:w="72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117,350</w:t>
            </w:r>
          </w:p>
        </w:tc>
      </w:tr>
      <w:tr>
        <w:trPr>
          <w:trHeight w:val="237"/>
        </w:trPr>
        <w:tc>
          <w:tcPr>
            <w:tcW w:w="60" w:type="dxa"/>
            <w:vAlign w:val="bottom"/>
          </w:tcPr>
          <w:p>
            <w:pPr>
              <w:spacing w:after="0"/>
              <w:rPr>
                <w:sz w:val="20"/>
                <w:szCs w:val="20"/>
                <w:color w:val="auto"/>
              </w:rPr>
            </w:pPr>
          </w:p>
        </w:tc>
        <w:tc>
          <w:tcPr>
            <w:tcW w:w="72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929,898</w:t>
            </w:r>
          </w:p>
        </w:tc>
      </w:tr>
      <w:tr>
        <w:trPr>
          <w:trHeight w:val="243"/>
        </w:trPr>
        <w:tc>
          <w:tcPr>
            <w:tcW w:w="7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credits:</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2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Deferred income taxes and investment tax credits, net</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977,312</w:t>
            </w:r>
          </w:p>
        </w:tc>
      </w:tr>
      <w:tr>
        <w:trPr>
          <w:trHeight w:val="243"/>
        </w:trPr>
        <w:tc>
          <w:tcPr>
            <w:tcW w:w="60" w:type="dxa"/>
            <w:vAlign w:val="bottom"/>
            <w:shd w:val="clear" w:color="auto" w:fill="CCEEFF"/>
          </w:tcPr>
          <w:p>
            <w:pPr>
              <w:spacing w:after="0"/>
              <w:rPr>
                <w:sz w:val="21"/>
                <w:szCs w:val="21"/>
                <w:color w:val="auto"/>
              </w:rPr>
            </w:pPr>
          </w:p>
        </w:tc>
        <w:tc>
          <w:tcPr>
            <w:tcW w:w="72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Accumulated removal costs</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496,000</w:t>
            </w:r>
          </w:p>
        </w:tc>
      </w:tr>
      <w:tr>
        <w:trPr>
          <w:trHeight w:val="243"/>
        </w:trPr>
        <w:tc>
          <w:tcPr>
            <w:tcW w:w="60" w:type="dxa"/>
            <w:vAlign w:val="bottom"/>
            <w:tcBorders>
              <w:bottom w:val="single" w:sz="8" w:color="CCEEFF"/>
            </w:tcBorders>
          </w:tcPr>
          <w:p>
            <w:pPr>
              <w:spacing w:after="0"/>
              <w:rPr>
                <w:sz w:val="21"/>
                <w:szCs w:val="21"/>
                <w:color w:val="auto"/>
              </w:rPr>
            </w:pPr>
          </w:p>
        </w:tc>
        <w:tc>
          <w:tcPr>
            <w:tcW w:w="72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8"/>
                <w:szCs w:val="18"/>
                <w:color w:val="auto"/>
              </w:rPr>
              <w:t>Other deferred credits and other long-term liabilities</w:t>
            </w: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632,136</w:t>
            </w:r>
          </w:p>
        </w:tc>
      </w:tr>
      <w:tr>
        <w:trPr>
          <w:trHeight w:val="237"/>
        </w:trPr>
        <w:tc>
          <w:tcPr>
            <w:tcW w:w="60" w:type="dxa"/>
            <w:vAlign w:val="bottom"/>
            <w:shd w:val="clear" w:color="auto" w:fill="CCEEFF"/>
          </w:tcPr>
          <w:p>
            <w:pPr>
              <w:spacing w:after="0"/>
              <w:rPr>
                <w:sz w:val="20"/>
                <w:szCs w:val="20"/>
                <w:color w:val="auto"/>
              </w:rPr>
            </w:pPr>
          </w:p>
        </w:tc>
        <w:tc>
          <w:tcPr>
            <w:tcW w:w="7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deferred income taxes and other credits</w:t>
            </w:r>
          </w:p>
        </w:tc>
        <w:tc>
          <w:tcPr>
            <w:tcW w:w="1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2,215,777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2,105,448</w:t>
            </w:r>
          </w:p>
        </w:tc>
      </w:tr>
      <w:tr>
        <w:trPr>
          <w:trHeight w:val="236"/>
        </w:trPr>
        <w:tc>
          <w:tcPr>
            <w:tcW w:w="7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capitalization and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10,566,068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10,429,477</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83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6"/>
          </w:tcPr>
          <w:p>
            <w:pPr>
              <w:jc w:val="center"/>
              <w:ind w:left="23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6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6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(Unaudited)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0"/>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4"/>
                <w:szCs w:val="24"/>
                <w:color w:val="auto"/>
              </w:rPr>
            </w:pPr>
          </w:p>
        </w:tc>
        <w:tc>
          <w:tcPr>
            <w:tcW w:w="21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1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6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2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1,459,645</w:t>
            </w:r>
          </w:p>
        </w:tc>
      </w:tr>
      <w:tr>
        <w:trPr>
          <w:trHeight w:val="223"/>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43"/>
        </w:trPr>
        <w:tc>
          <w:tcPr>
            <w:tcW w:w="6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cost of gas sold</w:t>
            </w:r>
          </w:p>
        </w:tc>
        <w:tc>
          <w:tcPr>
            <w:tcW w:w="2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429,398</w:t>
            </w:r>
          </w:p>
        </w:tc>
      </w:tr>
      <w:tr>
        <w:trPr>
          <w:trHeight w:val="243"/>
        </w:trPr>
        <w:tc>
          <w:tcPr>
            <w:tcW w:w="60" w:type="dxa"/>
            <w:vAlign w:val="bottom"/>
          </w:tcPr>
          <w:p>
            <w:pPr>
              <w:spacing w:after="0"/>
              <w:rPr>
                <w:sz w:val="21"/>
                <w:szCs w:val="21"/>
                <w:color w:val="auto"/>
              </w:rPr>
            </w:pPr>
          </w:p>
        </w:tc>
        <w:tc>
          <w:tcPr>
            <w:tcW w:w="4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402,945</w:t>
            </w:r>
          </w:p>
        </w:tc>
      </w:tr>
      <w:tr>
        <w:trPr>
          <w:trHeight w:val="243"/>
        </w:trPr>
        <w:tc>
          <w:tcPr>
            <w:tcW w:w="6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241,703</w:t>
            </w:r>
          </w:p>
        </w:tc>
      </w:tr>
      <w:tr>
        <w:trPr>
          <w:trHeight w:val="243"/>
        </w:trPr>
        <w:tc>
          <w:tcPr>
            <w:tcW w:w="6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70,379</w:t>
            </w:r>
          </w:p>
        </w:tc>
      </w:tr>
      <w:tr>
        <w:trPr>
          <w:trHeight w:val="237"/>
        </w:trPr>
        <w:tc>
          <w:tcPr>
            <w:tcW w:w="6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262,628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902,228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1,144,425</w:t>
            </w:r>
          </w:p>
        </w:tc>
      </w:tr>
      <w:tr>
        <w:trPr>
          <w:trHeight w:val="237"/>
        </w:trPr>
        <w:tc>
          <w:tcPr>
            <w:tcW w:w="4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339,228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315,220</w:t>
            </w:r>
          </w:p>
        </w:tc>
      </w:tr>
      <w:tr>
        <w:trPr>
          <w:trHeight w:val="223"/>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2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4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Net interest deductions</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(156,787)</w:t>
            </w:r>
          </w:p>
        </w:tc>
      </w:tr>
      <w:tr>
        <w:trPr>
          <w:trHeight w:val="243"/>
        </w:trPr>
        <w:tc>
          <w:tcPr>
            <w:tcW w:w="6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income</w:t>
            </w:r>
          </w:p>
        </w:tc>
        <w:tc>
          <w:tcPr>
            <w:tcW w:w="22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42,629</w:t>
            </w:r>
          </w:p>
        </w:tc>
      </w:tr>
      <w:tr>
        <w:trPr>
          <w:trHeight w:val="237"/>
        </w:trPr>
        <w:tc>
          <w:tcPr>
            <w:tcW w:w="60" w:type="dxa"/>
            <w:vAlign w:val="bottom"/>
            <w:tcBorders>
              <w:bottom w:val="single" w:sz="8" w:color="CCEEFF"/>
            </w:tcBorders>
          </w:tcPr>
          <w:p>
            <w:pPr>
              <w:spacing w:after="0"/>
              <w:rPr>
                <w:sz w:val="20"/>
                <w:szCs w:val="20"/>
                <w:color w:val="auto"/>
              </w:rPr>
            </w:pPr>
          </w:p>
        </w:tc>
        <w:tc>
          <w:tcPr>
            <w:tcW w:w="4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8"/>
                <w:szCs w:val="18"/>
                <w:color w:val="auto"/>
              </w:rPr>
              <w:t>Total other (expenses)</w:t>
            </w:r>
          </w:p>
        </w:tc>
        <w:tc>
          <w:tcPr>
            <w:tcW w:w="2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(114,158)</w:t>
            </w:r>
          </w:p>
        </w:tc>
      </w:tr>
      <w:tr>
        <w:trPr>
          <w:trHeight w:val="237"/>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244,166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201,062</w:t>
            </w:r>
          </w:p>
        </w:tc>
      </w:tr>
      <w:tr>
        <w:trPr>
          <w:trHeight w:val="243"/>
        </w:trPr>
        <w:tc>
          <w:tcPr>
            <w:tcW w:w="4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71,172</w:t>
            </w:r>
          </w:p>
        </w:tc>
      </w:tr>
      <w:tr>
        <w:trPr>
          <w:trHeight w:val="236"/>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129,890</w:t>
            </w:r>
          </w:p>
        </w:tc>
      </w:tr>
      <w:tr>
        <w:trPr>
          <w:trHeight w:val="243"/>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income tax</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201,814</w:t>
            </w:r>
          </w:p>
        </w:tc>
      </w:tr>
      <w:tr>
        <w:trPr>
          <w:trHeight w:val="236"/>
        </w:trPr>
        <w:tc>
          <w:tcPr>
            <w:tcW w:w="41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260,117</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331,704</w:t>
            </w:r>
          </w:p>
        </w:tc>
      </w:tr>
      <w:tr>
        <w:trPr>
          <w:trHeight w:val="243"/>
        </w:trPr>
        <w:tc>
          <w:tcPr>
            <w:tcW w:w="6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w:t>
            </w:r>
          </w:p>
        </w:tc>
      </w:tr>
      <w:tr>
        <w:trPr>
          <w:trHeight w:val="257"/>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2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262,634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336,350</w:t>
            </w:r>
          </w:p>
        </w:tc>
      </w:tr>
      <w:tr>
        <w:trPr>
          <w:trHeight w:val="20"/>
        </w:trPr>
        <w:tc>
          <w:tcPr>
            <w:tcW w:w="4120" w:type="dxa"/>
            <w:vAlign w:val="bottom"/>
            <w:tcBorders>
              <w:top w:val="single" w:sz="8" w:color="CCEEFF"/>
            </w:tcBorders>
            <w:gridSpan w:val="4"/>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6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7"/>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earnings (loss) per share - basic</w:t>
            </w:r>
          </w:p>
        </w:tc>
        <w:tc>
          <w:tcPr>
            <w:tcW w:w="2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6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6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56"/>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per share - diluted</w:t>
            </w:r>
          </w:p>
        </w:tc>
        <w:tc>
          <w:tcPr>
            <w:tcW w:w="2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0"/>
        </w:trPr>
        <w:tc>
          <w:tcPr>
            <w:tcW w:w="4120" w:type="dxa"/>
            <w:vAlign w:val="bottom"/>
            <w:tcBorders>
              <w:top w:val="single" w:sz="8" w:color="CCEEFF"/>
            </w:tcBorders>
            <w:gridSpan w:val="4"/>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72,104</w:t>
            </w:r>
          </w:p>
        </w:tc>
      </w:tr>
      <w:tr>
        <w:trPr>
          <w:trHeight w:val="243"/>
        </w:trPr>
        <w:tc>
          <w:tcPr>
            <w:tcW w:w="6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72,265</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Form 10-Q</w:t>
            </w: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83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040" w:type="dxa"/>
            <w:vAlign w:val="bottom"/>
            <w:gridSpan w:val="9"/>
          </w:tcPr>
          <w:p>
            <w:pPr>
              <w:jc w:val="center"/>
              <w:ind w:left="1990"/>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0"/>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19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19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6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9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6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260,117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331,704</w:t>
            </w:r>
          </w:p>
        </w:tc>
      </w:tr>
      <w:tr>
        <w:trPr>
          <w:trHeight w:val="223"/>
        </w:trPr>
        <w:tc>
          <w:tcPr>
            <w:tcW w:w="6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60" w:type="dxa"/>
            <w:vAlign w:val="bottom"/>
            <w:shd w:val="clear" w:color="auto" w:fill="CCEEFF"/>
          </w:tcPr>
          <w:p>
            <w:pPr>
              <w:spacing w:after="0"/>
              <w:rPr>
                <w:sz w:val="21"/>
                <w:szCs w:val="21"/>
                <w:color w:val="auto"/>
              </w:rPr>
            </w:pPr>
          </w:p>
        </w:tc>
        <w:tc>
          <w:tcPr>
            <w:tcW w:w="68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189"/>
        </w:trPr>
        <w:tc>
          <w:tcPr>
            <w:tcW w:w="60" w:type="dxa"/>
            <w:vAlign w:val="bottom"/>
          </w:tcPr>
          <w:p>
            <w:pPr>
              <w:spacing w:after="0"/>
              <w:rPr>
                <w:sz w:val="16"/>
                <w:szCs w:val="16"/>
                <w:color w:val="auto"/>
              </w:rPr>
            </w:pPr>
          </w:p>
        </w:tc>
        <w:tc>
          <w:tcPr>
            <w:tcW w:w="680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8"/>
                <w:szCs w:val="18"/>
                <w:color w:val="auto"/>
              </w:rPr>
              <w:t>Amortization of prior service cost, net of tax of $11, $11, $33 and $33,</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3"/>
        </w:trPr>
        <w:tc>
          <w:tcPr>
            <w:tcW w:w="60" w:type="dxa"/>
            <w:vAlign w:val="bottom"/>
          </w:tcPr>
          <w:p>
            <w:pPr>
              <w:spacing w:after="0"/>
              <w:rPr>
                <w:sz w:val="21"/>
                <w:szCs w:val="21"/>
                <w:color w:val="auto"/>
              </w:rPr>
            </w:pPr>
          </w:p>
        </w:tc>
        <w:tc>
          <w:tcPr>
            <w:tcW w:w="6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189"/>
        </w:trPr>
        <w:tc>
          <w:tcPr>
            <w:tcW w:w="60" w:type="dxa"/>
            <w:vAlign w:val="bottom"/>
            <w:shd w:val="clear" w:color="auto" w:fill="CCEEFF"/>
          </w:tcPr>
          <w:p>
            <w:pPr>
              <w:spacing w:after="0"/>
              <w:rPr>
                <w:sz w:val="16"/>
                <w:szCs w:val="16"/>
                <w:color w:val="auto"/>
              </w:rPr>
            </w:pPr>
          </w:p>
        </w:tc>
        <w:tc>
          <w:tcPr>
            <w:tcW w:w="6800" w:type="dxa"/>
            <w:vAlign w:val="bottom"/>
            <w:gridSpan w:val="3"/>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Amortization of net actuarial loss, net of tax of $606, $226, $1,818 and $678,</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43"/>
        </w:trPr>
        <w:tc>
          <w:tcPr>
            <w:tcW w:w="60" w:type="dxa"/>
            <w:vAlign w:val="bottom"/>
            <w:shd w:val="clear" w:color="auto" w:fill="CCEEFF"/>
          </w:tcPr>
          <w:p>
            <w:pPr>
              <w:spacing w:after="0"/>
              <w:rPr>
                <w:sz w:val="21"/>
                <w:szCs w:val="21"/>
                <w:color w:val="auto"/>
              </w:rPr>
            </w:pPr>
          </w:p>
        </w:tc>
        <w:tc>
          <w:tcPr>
            <w:tcW w:w="6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189"/>
        </w:trPr>
        <w:tc>
          <w:tcPr>
            <w:tcW w:w="60" w:type="dxa"/>
            <w:vAlign w:val="bottom"/>
          </w:tcPr>
          <w:p>
            <w:pPr>
              <w:spacing w:after="0"/>
              <w:rPr>
                <w:sz w:val="16"/>
                <w:szCs w:val="16"/>
                <w:color w:val="auto"/>
              </w:rPr>
            </w:pPr>
          </w:p>
        </w:tc>
        <w:tc>
          <w:tcPr>
            <w:tcW w:w="680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8"/>
                <w:szCs w:val="18"/>
                <w:color w:val="auto"/>
              </w:rPr>
              <w:t>Regulatory  adjustment,  net  of  tax  of  $(658),  $(153),  $5,882  and  $(457),</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3"/>
        </w:trPr>
        <w:tc>
          <w:tcPr>
            <w:tcW w:w="60" w:type="dxa"/>
            <w:vAlign w:val="bottom"/>
            <w:tcBorders>
              <w:bottom w:val="single" w:sz="8" w:color="CCEEFF"/>
            </w:tcBorders>
          </w:tcPr>
          <w:p>
            <w:pPr>
              <w:spacing w:after="0"/>
              <w:rPr>
                <w:sz w:val="21"/>
                <w:szCs w:val="21"/>
                <w:color w:val="auto"/>
              </w:rPr>
            </w:pPr>
          </w:p>
        </w:tc>
        <w:tc>
          <w:tcPr>
            <w:tcW w:w="680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37"/>
        </w:trPr>
        <w:tc>
          <w:tcPr>
            <w:tcW w:w="6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defined benefit pension plans, net of tax</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7"/>
        </w:trPr>
        <w:tc>
          <w:tcPr>
            <w:tcW w:w="6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related to discontinued operations</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r>
      <w:tr>
        <w:trPr>
          <w:trHeight w:val="237"/>
        </w:trPr>
        <w:tc>
          <w:tcPr>
            <w:tcW w:w="68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r>
      <w:tr>
        <w:trPr>
          <w:trHeight w:val="237"/>
        </w:trPr>
        <w:tc>
          <w:tcPr>
            <w:tcW w:w="6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337,661</w:t>
            </w:r>
          </w:p>
        </w:tc>
      </w:tr>
      <w:tr>
        <w:trPr>
          <w:trHeight w:val="243"/>
        </w:trPr>
        <w:tc>
          <w:tcPr>
            <w:tcW w:w="60" w:type="dxa"/>
            <w:vAlign w:val="bottom"/>
            <w:shd w:val="clear" w:color="auto" w:fill="CCEEFF"/>
          </w:tcPr>
          <w:p>
            <w:pPr>
              <w:spacing w:after="0"/>
              <w:rPr>
                <w:sz w:val="21"/>
                <w:szCs w:val="21"/>
                <w:color w:val="auto"/>
              </w:rPr>
            </w:pPr>
          </w:p>
        </w:tc>
        <w:tc>
          <w:tcPr>
            <w:tcW w:w="68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37"/>
        </w:trPr>
        <w:tc>
          <w:tcPr>
            <w:tcW w:w="6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Southwest Gas Holdings,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262,037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217,765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342,018</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0" w:type="dxa"/>
            <w:vAlign w:val="bottom"/>
          </w:tcPr>
          <w:p>
            <w:pPr>
              <w:spacing w:after="0"/>
              <w:rPr>
                <w:sz w:val="19"/>
                <w:szCs w:val="19"/>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September 30, 2026</w:t>
            </w:r>
          </w:p>
        </w:tc>
      </w:tr>
      <w:tr>
        <w:trPr>
          <w:trHeight w:val="839"/>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SOUTHWEST GAS HOLDINGS, INC. AND SUBSIDIARIES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6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2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331,704</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Less: Income from discontinued operations, net of income tax</w:t>
            </w:r>
          </w:p>
        </w:tc>
        <w:tc>
          <w:tcPr>
            <w:tcW w:w="5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201,814</w:t>
            </w:r>
          </w:p>
        </w:tc>
      </w:tr>
      <w:tr>
        <w:trPr>
          <w:trHeight w:val="237"/>
        </w:trPr>
        <w:tc>
          <w:tcPr>
            <w:tcW w:w="20" w:type="dxa"/>
            <w:vAlign w:val="bottom"/>
          </w:tcPr>
          <w:p>
            <w:pPr>
              <w:spacing w:after="0"/>
              <w:rPr>
                <w:sz w:val="20"/>
                <w:szCs w:val="20"/>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Income from continuing operations, net of income tax</w:t>
            </w:r>
          </w:p>
        </w:tc>
        <w:tc>
          <w:tcPr>
            <w:tcW w:w="5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129,890</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241,703</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83,254</w:t>
            </w:r>
          </w:p>
        </w:tc>
      </w:tr>
      <w:tr>
        <w:trPr>
          <w:trHeight w:val="243"/>
        </w:trPr>
        <w:tc>
          <w:tcPr>
            <w:tcW w:w="20" w:type="dxa"/>
            <w:vAlign w:val="bottom"/>
          </w:tcPr>
          <w:p>
            <w:pPr>
              <w:spacing w:after="0"/>
              <w:rPr>
                <w:sz w:val="21"/>
                <w:szCs w:val="21"/>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Gains on sale of property and equipment</w:t>
            </w:r>
          </w:p>
        </w:tc>
        <w:tc>
          <w:tcPr>
            <w:tcW w:w="5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w:t>
            </w:r>
          </w:p>
        </w:tc>
      </w:tr>
      <w:tr>
        <w:trPr>
          <w:trHeight w:val="243"/>
        </w:trPr>
        <w:tc>
          <w:tcPr>
            <w:tcW w:w="20" w:type="dxa"/>
            <w:vAlign w:val="bottom"/>
          </w:tcPr>
          <w:p>
            <w:pPr>
              <w:spacing w:after="0"/>
              <w:rPr>
                <w:sz w:val="21"/>
                <w:szCs w:val="21"/>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Equity AFUDC</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92,437</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utility revenue</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44,900</w:t>
            </w:r>
          </w:p>
        </w:tc>
      </w:tr>
      <w:tr>
        <w:trPr>
          <w:trHeight w:val="243"/>
        </w:trPr>
        <w:tc>
          <w:tcPr>
            <w:tcW w:w="20" w:type="dxa"/>
            <w:vAlign w:val="bottom"/>
          </w:tcPr>
          <w:p>
            <w:pPr>
              <w:spacing w:after="0"/>
              <w:rPr>
                <w:sz w:val="21"/>
                <w:szCs w:val="21"/>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Deferred purchased gas costs</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114,768</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(65,842)</w:t>
            </w:r>
          </w:p>
        </w:tc>
      </w:tr>
      <w:tr>
        <w:trPr>
          <w:trHeight w:val="243"/>
        </w:trPr>
        <w:tc>
          <w:tcPr>
            <w:tcW w:w="20" w:type="dxa"/>
            <w:vAlign w:val="bottom"/>
          </w:tcPr>
          <w:p>
            <w:pPr>
              <w:spacing w:after="0"/>
              <w:rPr>
                <w:sz w:val="21"/>
                <w:szCs w:val="21"/>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Accrued taxes</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current assets and liabilities</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w:t>
            </w:r>
          </w:p>
        </w:tc>
      </w:tr>
      <w:tr>
        <w:trPr>
          <w:trHeight w:val="243"/>
        </w:trPr>
        <w:tc>
          <w:tcPr>
            <w:tcW w:w="20" w:type="dxa"/>
            <w:vAlign w:val="bottom"/>
          </w:tcPr>
          <w:p>
            <w:pPr>
              <w:spacing w:after="0"/>
              <w:rPr>
                <w:sz w:val="21"/>
                <w:szCs w:val="21"/>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Changes in deferred charges and other assets</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(42,386)</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Changes in other liabilities and deferred credits</w:t>
            </w: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w:t>
            </w:r>
          </w:p>
        </w:tc>
      </w:tr>
      <w:tr>
        <w:trPr>
          <w:trHeight w:val="237"/>
        </w:trPr>
        <w:tc>
          <w:tcPr>
            <w:tcW w:w="20" w:type="dxa"/>
            <w:vAlign w:val="bottom"/>
          </w:tcPr>
          <w:p>
            <w:pPr>
              <w:spacing w:after="0"/>
              <w:rPr>
                <w:sz w:val="20"/>
                <w:szCs w:val="20"/>
                <w:color w:val="auto"/>
              </w:rPr>
            </w:pPr>
          </w:p>
        </w:tc>
        <w:tc>
          <w:tcPr>
            <w:tcW w:w="77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5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509,136</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 of discontinued operations</w:t>
            </w:r>
          </w:p>
        </w:tc>
        <w:tc>
          <w:tcPr>
            <w:tcW w:w="5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(34,628)</w:t>
            </w:r>
          </w:p>
        </w:tc>
      </w:tr>
      <w:tr>
        <w:trPr>
          <w:trHeight w:val="237"/>
        </w:trPr>
        <w:tc>
          <w:tcPr>
            <w:tcW w:w="20" w:type="dxa"/>
            <w:vAlign w:val="bottom"/>
            <w:tcBorders>
              <w:bottom w:val="single" w:sz="8" w:color="CCEEFF"/>
            </w:tcBorders>
          </w:tcPr>
          <w:p>
            <w:pPr>
              <w:spacing w:after="0"/>
              <w:rPr>
                <w:sz w:val="20"/>
                <w:szCs w:val="20"/>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383,623</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474,508</w:t>
            </w:r>
          </w:p>
        </w:tc>
      </w:tr>
      <w:tr>
        <w:trPr>
          <w:trHeight w:val="223"/>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Capital expenditures and property additions</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(570,351)</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the sale of property</w:t>
            </w:r>
          </w:p>
        </w:tc>
        <w:tc>
          <w:tcPr>
            <w:tcW w:w="5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r>
      <w:tr>
        <w:trPr>
          <w:trHeight w:val="243"/>
        </w:trPr>
        <w:tc>
          <w:tcPr>
            <w:tcW w:w="20" w:type="dxa"/>
            <w:vAlign w:val="bottom"/>
          </w:tcPr>
          <w:p>
            <w:pPr>
              <w:spacing w:after="0"/>
              <w:rPr>
                <w:sz w:val="21"/>
                <w:szCs w:val="21"/>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Changes in customer advances</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7"/>
        </w:trPr>
        <w:tc>
          <w:tcPr>
            <w:tcW w:w="20" w:type="dxa"/>
            <w:vAlign w:val="bottom"/>
          </w:tcPr>
          <w:p>
            <w:pPr>
              <w:spacing w:after="0"/>
              <w:rPr>
                <w:sz w:val="20"/>
                <w:szCs w:val="20"/>
                <w:color w:val="auto"/>
              </w:rPr>
            </w:pPr>
          </w:p>
        </w:tc>
        <w:tc>
          <w:tcPr>
            <w:tcW w:w="77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 of continuing operations</w:t>
            </w:r>
          </w:p>
        </w:tc>
        <w:tc>
          <w:tcPr>
            <w:tcW w:w="5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(561,492)</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Net cash provided by investing activities of discontinued operations</w:t>
            </w:r>
          </w:p>
        </w:tc>
        <w:tc>
          <w:tcPr>
            <w:tcW w:w="5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776,678</w:t>
            </w:r>
          </w:p>
        </w:tc>
      </w:tr>
      <w:tr>
        <w:trPr>
          <w:trHeight w:val="237"/>
        </w:trPr>
        <w:tc>
          <w:tcPr>
            <w:tcW w:w="20" w:type="dxa"/>
            <w:vAlign w:val="bottom"/>
            <w:tcBorders>
              <w:bottom w:val="single" w:sz="8" w:color="CCEEFF"/>
            </w:tcBorders>
          </w:tcPr>
          <w:p>
            <w:pPr>
              <w:spacing w:after="0"/>
              <w:rPr>
                <w:sz w:val="20"/>
                <w:szCs w:val="20"/>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(791,339)</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215,186</w:t>
            </w:r>
          </w:p>
        </w:tc>
      </w:tr>
      <w:tr>
        <w:trPr>
          <w:trHeight w:val="223"/>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17,682</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Dividends paid</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(133,855)</w:t>
            </w:r>
          </w:p>
        </w:tc>
      </w:tr>
      <w:tr>
        <w:trPr>
          <w:trHeight w:val="243"/>
        </w:trPr>
        <w:tc>
          <w:tcPr>
            <w:tcW w:w="20" w:type="dxa"/>
            <w:vAlign w:val="bottom"/>
          </w:tcPr>
          <w:p>
            <w:pPr>
              <w:spacing w:after="0"/>
              <w:rPr>
                <w:sz w:val="21"/>
                <w:szCs w:val="21"/>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Retirement of long-term debt</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short-term portion of credit facility</w:t>
            </w:r>
          </w:p>
        </w:tc>
        <w:tc>
          <w:tcPr>
            <w:tcW w:w="5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r>
      <w:tr>
        <w:trPr>
          <w:trHeight w:val="243"/>
        </w:trPr>
        <w:tc>
          <w:tcPr>
            <w:tcW w:w="20" w:type="dxa"/>
            <w:vAlign w:val="bottom"/>
          </w:tcPr>
          <w:p>
            <w:pPr>
              <w:spacing w:after="0"/>
              <w:rPr>
                <w:sz w:val="21"/>
                <w:szCs w:val="21"/>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Change in long-term commercial paper</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Repayment of short-term debt</w:t>
            </w:r>
          </w:p>
        </w:tc>
        <w:tc>
          <w:tcPr>
            <w:tcW w:w="5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43"/>
        </w:trPr>
        <w:tc>
          <w:tcPr>
            <w:tcW w:w="20" w:type="dxa"/>
            <w:vAlign w:val="bottom"/>
          </w:tcPr>
          <w:p>
            <w:pPr>
              <w:spacing w:after="0"/>
              <w:rPr>
                <w:sz w:val="21"/>
                <w:szCs w:val="21"/>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Withholding remittance - share-based compensation</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including principal payments on finance leases</w:t>
            </w: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r>
      <w:tr>
        <w:trPr>
          <w:trHeight w:val="236"/>
        </w:trPr>
        <w:tc>
          <w:tcPr>
            <w:tcW w:w="20" w:type="dxa"/>
            <w:vAlign w:val="bottom"/>
          </w:tcPr>
          <w:p>
            <w:pPr>
              <w:spacing w:after="0"/>
              <w:rPr>
                <w:sz w:val="20"/>
                <w:szCs w:val="20"/>
                <w:color w:val="auto"/>
              </w:rPr>
            </w:pPr>
          </w:p>
        </w:tc>
        <w:tc>
          <w:tcPr>
            <w:tcW w:w="77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Net cash used in financing activities of continuing operations</w:t>
            </w:r>
          </w:p>
        </w:tc>
        <w:tc>
          <w:tcPr>
            <w:tcW w:w="5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(803,069)</w:t>
            </w:r>
          </w:p>
        </w:tc>
      </w:tr>
      <w:tr>
        <w:trPr>
          <w:trHeight w:val="243"/>
        </w:trPr>
        <w:tc>
          <w:tcPr>
            <w:tcW w:w="20" w:type="dxa"/>
            <w:vAlign w:val="bottom"/>
            <w:shd w:val="clear" w:color="auto" w:fill="CCEEFF"/>
          </w:tcPr>
          <w:p>
            <w:pPr>
              <w:spacing w:after="0"/>
              <w:rPr>
                <w:sz w:val="21"/>
                <w:szCs w:val="21"/>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Net cash provided by financing activities of discontinued operations</w:t>
            </w:r>
          </w:p>
        </w:tc>
        <w:tc>
          <w:tcPr>
            <w:tcW w:w="5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528,344</w:t>
            </w:r>
          </w:p>
        </w:tc>
      </w:tr>
      <w:tr>
        <w:trPr>
          <w:trHeight w:val="236"/>
        </w:trPr>
        <w:tc>
          <w:tcPr>
            <w:tcW w:w="20" w:type="dxa"/>
            <w:vAlign w:val="bottom"/>
            <w:tcBorders>
              <w:bottom w:val="single" w:sz="8" w:color="CCEEFF"/>
            </w:tcBorders>
          </w:tcPr>
          <w:p>
            <w:pPr>
              <w:spacing w:after="0"/>
              <w:rPr>
                <w:sz w:val="20"/>
                <w:szCs w:val="20"/>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(115,565)</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(274,725)</w:t>
            </w:r>
          </w:p>
        </w:tc>
      </w:tr>
      <w:tr>
        <w:trPr>
          <w:trHeight w:val="237"/>
        </w:trPr>
        <w:tc>
          <w:tcPr>
            <w:tcW w:w="20" w:type="dxa"/>
            <w:vAlign w:val="bottom"/>
            <w:shd w:val="clear" w:color="auto" w:fill="CCEEFF"/>
          </w:tcPr>
          <w:p>
            <w:pPr>
              <w:spacing w:after="0"/>
              <w:rPr>
                <w:sz w:val="20"/>
                <w:szCs w:val="20"/>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Effects of currency translation in discontinued operations</w:t>
            </w:r>
          </w:p>
        </w:tc>
        <w:tc>
          <w:tcPr>
            <w:tcW w:w="5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pacing w:after="0" w:line="200" w:lineRule="exact"/>
        <w:rPr>
          <w:sz w:val="20"/>
          <w:szCs w:val="20"/>
          <w:color w:val="auto"/>
        </w:rPr>
      </w:pPr>
    </w:p>
    <w:p>
      <w:pPr>
        <w:sectPr>
          <w:pgSz w:w="11900" w:h="16838" w:orient="portrait"/>
          <w:cols w:equalWidth="0" w:num="1">
            <w:col w:w="11180"/>
          </w:cols>
          <w:pgMar w:left="360" w:top="270" w:right="359" w:bottom="1440" w:gutter="0" w:footer="0" w:header="0"/>
        </w:sect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70" w:right="359" w:bottom="1440" w:gutter="0" w:footer="0" w:header="0"/>
          <w:type w:val="continuous"/>
        </w:sectPr>
      </w:pPr>
    </w:p>
    <w:bookmarkStart w:id="9" w:name="page10"/>
    <w:bookmarkEnd w:id="9"/>
    <w:tbl>
      <w:tblPr>
        <w:tblLayout w:type="fixed"/>
        <w:tblInd w:w="2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cash and cash equivalents, including discontinued operations</w:t>
            </w: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(523,281)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414,842</w:t>
            </w:r>
          </w:p>
        </w:tc>
      </w:tr>
      <w:tr>
        <w:trPr>
          <w:trHeight w:val="24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including discontinued operations, at beginning of period</w:t>
            </w:r>
          </w:p>
        </w:tc>
        <w:tc>
          <w:tcPr>
            <w:tcW w:w="4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576,645</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363,789</w:t>
            </w:r>
          </w:p>
        </w:tc>
      </w:tr>
      <w:tr>
        <w:trPr>
          <w:trHeight w:val="237"/>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 including discontinued operations, at end of period</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53,364</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778,631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 net of amounts capitalized - continuing operations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125,300</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148,776</w:t>
            </w:r>
          </w:p>
        </w:tc>
      </w:tr>
      <w:tr>
        <w:trPr>
          <w:trHeight w:val="243"/>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 net of amounts capitalized - discontinued operations</w:t>
            </w:r>
          </w:p>
        </w:tc>
        <w:tc>
          <w:tcPr>
            <w:tcW w:w="4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43,300</w:t>
            </w:r>
          </w:p>
        </w:tc>
      </w:tr>
      <w:tr>
        <w:trPr>
          <w:trHeight w:val="237"/>
        </w:trPr>
        <w:tc>
          <w:tcPr>
            <w:tcW w:w="78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125,300</w:t>
            </w: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192,076</w:t>
            </w:r>
          </w:p>
        </w:tc>
      </w:tr>
      <w:tr>
        <w:trPr>
          <w:trHeight w:val="216"/>
        </w:trPr>
        <w:tc>
          <w:tcPr>
            <w:tcW w:w="7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(benefit) paid, net - continuing operations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paid, net - discontinued operations</w:t>
            </w:r>
          </w:p>
        </w:tc>
        <w:tc>
          <w:tcPr>
            <w:tcW w:w="4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29,237</w:t>
            </w:r>
          </w:p>
        </w:tc>
      </w:tr>
      <w:tr>
        <w:trPr>
          <w:trHeight w:val="262"/>
        </w:trPr>
        <w:tc>
          <w:tcPr>
            <w:tcW w:w="7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 net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145415</wp:posOffset>
            </wp:positionV>
            <wp:extent cx="710628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274320"/>
                    </a:xfrm>
                    <a:prstGeom prst="rect">
                      <a:avLst/>
                    </a:prstGeom>
                    <a:noFill/>
                  </pic:spPr>
                </pic:pic>
              </a:graphicData>
            </a:graphic>
          </wp:anchor>
        </w:drawing>
      </w:r>
    </w:p>
    <w:p>
      <w:pPr>
        <w:sectPr>
          <w:pgSz w:w="11900" w:h="16838" w:orient="portrait"/>
          <w:cols w:equalWidth="0" w:num="1">
            <w:col w:w="11180"/>
          </w:cols>
          <w:pgMar w:left="360" w:top="270" w:right="359" w:bottom="1440" w:gutter="0" w:footer="0" w:header="0"/>
        </w:sectPr>
      </w:pPr>
    </w:p>
    <w:p>
      <w:pPr>
        <w:spacing w:after="0" w:line="238" w:lineRule="exact"/>
        <w:rPr>
          <w:sz w:val="20"/>
          <w:szCs w:val="20"/>
          <w:color w:val="auto"/>
        </w:rPr>
      </w:pPr>
    </w:p>
    <w:p>
      <w:pPr>
        <w:ind w:left="340" w:right="200"/>
        <w:spacing w:after="0" w:line="237" w:lineRule="auto"/>
        <w:rPr>
          <w:sz w:val="20"/>
          <w:szCs w:val="20"/>
          <w:color w:val="auto"/>
        </w:rPr>
      </w:pPr>
      <w:r>
        <w:rPr>
          <w:rFonts w:ascii="Times New Roman" w:cs="Times New Roman" w:eastAsia="Times New Roman" w:hAnsi="Times New Roman"/>
          <w:sz w:val="18"/>
          <w:szCs w:val="18"/>
          <w:color w:val="auto"/>
        </w:rPr>
        <w:t>Decrease of capital expenditures in Accounts payable or Other current liabilities- continuing operations</w:t>
      </w:r>
    </w:p>
    <w:p>
      <w:pPr>
        <w:spacing w:after="0" w:line="23" w:lineRule="exact"/>
        <w:rPr>
          <w:sz w:val="20"/>
          <w:szCs w:val="20"/>
          <w:color w:val="auto"/>
        </w:rPr>
      </w:pPr>
    </w:p>
    <w:p>
      <w:pPr>
        <w:ind w:left="340"/>
        <w:spacing w:after="0" w:line="237" w:lineRule="auto"/>
        <w:rPr>
          <w:sz w:val="20"/>
          <w:szCs w:val="20"/>
          <w:color w:val="auto"/>
        </w:rPr>
      </w:pPr>
      <w:r>
        <w:rPr>
          <w:rFonts w:ascii="Times New Roman" w:cs="Times New Roman" w:eastAsia="Times New Roman" w:hAnsi="Times New Roman"/>
          <w:sz w:val="18"/>
          <w:szCs w:val="18"/>
          <w:color w:val="auto"/>
        </w:rPr>
        <w:t>Decrease of capital expenditures in Accounts payable or Other current liabilities -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7106285"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Decrease of capital expenditures in Accounts payable or Other current liabilities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tabs>
          <w:tab w:leader="none" w:pos="940" w:val="left"/>
          <w:tab w:leader="none" w:pos="2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(22,600)  $</w:t>
      </w:r>
      <w:r>
        <w:rPr>
          <w:sz w:val="20"/>
          <w:szCs w:val="20"/>
          <w:color w:val="auto"/>
        </w:rPr>
        <w:tab/>
      </w:r>
      <w:r>
        <w:rPr>
          <w:rFonts w:ascii="Times New Roman" w:cs="Times New Roman" w:eastAsia="Times New Roman" w:hAnsi="Times New Roman"/>
          <w:sz w:val="18"/>
          <w:szCs w:val="18"/>
          <w:color w:val="auto"/>
        </w:rPr>
        <w:t>(800)</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—(9,186)</w:t>
      </w:r>
    </w:p>
    <w:p>
      <w:pPr>
        <w:spacing w:after="0" w:line="144" w:lineRule="exact"/>
        <w:rPr>
          <w:sz w:val="20"/>
          <w:szCs w:val="20"/>
          <w:color w:val="auto"/>
        </w:rPr>
      </w:pPr>
    </w:p>
    <w:p>
      <w:pPr>
        <w:spacing w:after="0"/>
        <w:tabs>
          <w:tab w:leader="none" w:pos="940" w:val="left"/>
          <w:tab w:leader="none" w:pos="2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(22,600)  $</w:t>
      </w:r>
      <w:r>
        <w:rPr>
          <w:sz w:val="20"/>
          <w:szCs w:val="20"/>
          <w:color w:val="auto"/>
        </w:rPr>
        <w:tab/>
      </w:r>
      <w:r>
        <w:rPr>
          <w:rFonts w:ascii="Times New Roman" w:cs="Times New Roman" w:eastAsia="Times New Roman" w:hAnsi="Times New Roman"/>
          <w:sz w:val="18"/>
          <w:szCs w:val="18"/>
          <w:color w:val="auto"/>
        </w:rPr>
        <w:t>(9,986)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2117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17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680"/>
            <w:col w:w="3320"/>
          </w:cols>
          <w:pgMar w:left="360" w:top="270" w:right="35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AFUDC capitalized in regulated operations plant - continuing operations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43"/>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AFUDC capitalized in regulated operations plant - discontinued operations</w:t>
            </w:r>
          </w:p>
        </w:tc>
        <w:tc>
          <w:tcPr>
            <w:tcW w:w="6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7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AFUDC capitalized in regulated operations plant</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70" w:right="35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September 30, 2026</w:t>
            </w:r>
          </w:p>
        </w:tc>
        <w:tc>
          <w:tcPr>
            <w:tcW w:w="0" w:type="dxa"/>
            <w:vAlign w:val="bottom"/>
          </w:tcPr>
          <w:p>
            <w:pPr>
              <w:spacing w:after="0"/>
              <w:rPr>
                <w:sz w:val="1"/>
                <w:szCs w:val="1"/>
                <w:color w:val="auto"/>
              </w:rPr>
            </w:pPr>
          </w:p>
        </w:tc>
      </w:tr>
      <w:tr>
        <w:trPr>
          <w:trHeight w:val="934"/>
        </w:trPr>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0"/>
          </w:tcPr>
          <w:p>
            <w:pPr>
              <w:jc w:val="center"/>
              <w:ind w:left="19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40" w:type="dxa"/>
            <w:vAlign w:val="bottom"/>
            <w:gridSpan w:val="10"/>
          </w:tcPr>
          <w:p>
            <w:pPr>
              <w:jc w:val="center"/>
              <w:ind w:left="19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gridSpan w:val="9"/>
          </w:tcPr>
          <w:p>
            <w:pPr>
              <w:jc w:val="center"/>
              <w:ind w:left="43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Common stock shares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Stated</w:t>
            </w:r>
          </w:p>
        </w:tc>
        <w:tc>
          <w:tcPr>
            <w:tcW w:w="140" w:type="dxa"/>
            <w:vAlign w:val="bottom"/>
          </w:tcPr>
          <w:p>
            <w:pPr>
              <w:spacing w:after="0"/>
              <w:rPr>
                <w:sz w:val="16"/>
                <w:szCs w:val="16"/>
                <w:color w:val="auto"/>
              </w:rPr>
            </w:pPr>
          </w:p>
        </w:tc>
        <w:tc>
          <w:tcPr>
            <w:tcW w:w="10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Additional</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Paid-in Capital</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AOCI</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Total Equity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72,224</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2,898,965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3,961,119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Dividends declared ($0.62 per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actuarial gain arising during period, less amortization of</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benefit plan cost, net of tax</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2,901,448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1,160,327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4,101,678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stock issuances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($0.645 per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Net actuarial gain arising during period, less amortization of</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unamortized benefit plan cost, net of tax and regulatory</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24,169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2026</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74,074</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2,905,518</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1,155,629</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4,125,290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Dividends declared ($0.645 per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actuarial gain arising during period, less amortization of</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unamortized benefit plan cost, net of tax and regulatory</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September 30, 2026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72,467</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2,916,385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1,121,577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4,101,999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6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c>
          <w:tcPr>
            <w:tcW w:w="0" w:type="dxa"/>
            <w:vAlign w:val="bottom"/>
          </w:tcPr>
          <w:p>
            <w:pPr>
              <w:spacing w:after="0"/>
              <w:rPr>
                <w:sz w:val="1"/>
                <w:szCs w:val="1"/>
                <w:color w:val="auto"/>
              </w:rPr>
            </w:pPr>
          </w:p>
        </w:tc>
      </w:tr>
      <w:tr>
        <w:trPr>
          <w:trHeight w:val="934"/>
        </w:trPr>
        <w:tc>
          <w:tcPr>
            <w:tcW w:w="6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7"/>
          </w:tcPr>
          <w:p>
            <w:pPr>
              <w:jc w:val="center"/>
              <w:ind w:right="48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0" w:type="dxa"/>
            <w:vAlign w:val="bottom"/>
            <w:gridSpan w:val="17"/>
          </w:tcPr>
          <w:p>
            <w:pPr>
              <w:jc w:val="center"/>
              <w:ind w:right="48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11"/>
          </w:tcPr>
          <w:p>
            <w:pPr>
              <w:jc w:val="center"/>
              <w:ind w:right="8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680" w:type="dxa"/>
            <w:vAlign w:val="bottom"/>
            <w:tcBorders>
              <w:bottom w:val="single" w:sz="8" w:color="auto"/>
            </w:tcBorders>
            <w:gridSpan w:val="6"/>
          </w:tcPr>
          <w:p>
            <w:pPr>
              <w:jc w:val="right"/>
              <w:ind w:right="35"/>
              <w:spacing w:after="0"/>
              <w:rPr>
                <w:sz w:val="20"/>
                <w:szCs w:val="20"/>
                <w:color w:val="auto"/>
              </w:rPr>
            </w:pPr>
            <w:r>
              <w:rPr>
                <w:rFonts w:ascii="Times New Roman" w:cs="Times New Roman" w:eastAsia="Times New Roman" w:hAnsi="Times New Roman"/>
                <w:sz w:val="16"/>
                <w:szCs w:val="16"/>
                <w:color w:val="auto"/>
              </w:rPr>
              <w:t>Common stock shares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Number of</w:t>
            </w:r>
          </w:p>
        </w:tc>
        <w:tc>
          <w:tcPr>
            <w:tcW w:w="160" w:type="dxa"/>
            <w:vAlign w:val="bottom"/>
          </w:tcPr>
          <w:p>
            <w:pPr>
              <w:spacing w:after="0"/>
              <w:rPr>
                <w:sz w:val="14"/>
                <w:szCs w:val="14"/>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Stated</w:t>
            </w:r>
          </w:p>
        </w:tc>
        <w:tc>
          <w:tcPr>
            <w:tcW w:w="14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Additional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Retained</w:t>
            </w:r>
          </w:p>
        </w:tc>
        <w:tc>
          <w:tcPr>
            <w:tcW w:w="1160" w:type="dxa"/>
            <w:vAlign w:val="bottom"/>
            <w:gridSpan w:val="3"/>
          </w:tcPr>
          <w:p>
            <w:pPr>
              <w:ind w:left="60"/>
              <w:spacing w:after="0" w:line="161" w:lineRule="exact"/>
              <w:rPr>
                <w:sz w:val="20"/>
                <w:szCs w:val="20"/>
                <w:color w:val="auto"/>
              </w:rPr>
            </w:pPr>
            <w:r>
              <w:rPr>
                <w:rFonts w:ascii="Times New Roman" w:cs="Times New Roman" w:eastAsia="Times New Roman" w:hAnsi="Times New Roman"/>
                <w:sz w:val="16"/>
                <w:szCs w:val="16"/>
                <w:color w:val="auto"/>
              </w:rPr>
              <w:t>Southwest Gas</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Noncontrolling</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AOCI</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6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Holdings, Inc.</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color w:val="auto"/>
                <w:w w:val="96"/>
              </w:rPr>
              <w:t>Total Equity</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Value</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Paid-in Capital</w:t>
            </w: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22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Equity</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Interest</w:t>
            </w: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71,783</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73,413</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2,721,343</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(49,218)</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758,649</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3,504,187</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177,235</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3,681,422</w:t>
            </w:r>
          </w:p>
        </w:tc>
        <w:tc>
          <w:tcPr>
            <w:tcW w:w="0" w:type="dxa"/>
            <w:vAlign w:val="bottom"/>
          </w:tcPr>
          <w:p>
            <w:pPr>
              <w:spacing w:after="0"/>
              <w:rPr>
                <w:sz w:val="1"/>
                <w:szCs w:val="1"/>
                <w:color w:val="auto"/>
              </w:rPr>
            </w:pPr>
          </w:p>
        </w:tc>
      </w:tr>
      <w:tr>
        <w:trPr>
          <w:trHeight w:val="2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113,870</w:t>
            </w:r>
          </w:p>
        </w:tc>
        <w:tc>
          <w:tcPr>
            <w:tcW w:w="0" w:type="dxa"/>
            <w:vAlign w:val="bottom"/>
          </w:tcPr>
          <w:p>
            <w:pPr>
              <w:spacing w:after="0"/>
              <w:rPr>
                <w:sz w:val="1"/>
                <w:szCs w:val="1"/>
                <w:color w:val="auto"/>
              </w:rPr>
            </w:pPr>
          </w:p>
        </w:tc>
      </w:tr>
      <w:tr>
        <w:trPr>
          <w:trHeight w:val="251"/>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issuances</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5,543</w:t>
            </w:r>
          </w:p>
        </w:tc>
        <w:tc>
          <w:tcPr>
            <w:tcW w:w="0" w:type="dxa"/>
            <w:vAlign w:val="bottom"/>
          </w:tcPr>
          <w:p>
            <w:pPr>
              <w:spacing w:after="0"/>
              <w:rPr>
                <w:sz w:val="1"/>
                <w:szCs w:val="1"/>
                <w:color w:val="auto"/>
              </w:rPr>
            </w:pPr>
          </w:p>
        </w:tc>
      </w:tr>
      <w:tr>
        <w:trPr>
          <w:trHeight w:val="2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Dividends declared ($0.62 per share)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(45,066)</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Net loss attributable to</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(4,696)</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 holders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Foreign currency exchange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2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translation adjustment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7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Net actuarial gain arising during</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70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period, less amortization of</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unamortized benefit plan cost, net of</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38"/>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March 31, 2025</w:t>
            </w:r>
          </w:p>
        </w:tc>
        <w:tc>
          <w:tcPr>
            <w:tcW w:w="8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71,911</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73,541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2,726,758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(48,866)</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827,453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3,578,886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172,559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3,751,445</w:t>
            </w:r>
          </w:p>
        </w:tc>
        <w:tc>
          <w:tcPr>
            <w:tcW w:w="0" w:type="dxa"/>
            <w:vAlign w:val="bottom"/>
          </w:tcPr>
          <w:p>
            <w:pPr>
              <w:spacing w:after="0"/>
              <w:rPr>
                <w:sz w:val="1"/>
                <w:szCs w:val="1"/>
                <w:color w:val="auto"/>
              </w:rPr>
            </w:pPr>
          </w:p>
        </w:tc>
      </w:tr>
      <w:tr>
        <w:trPr>
          <w:trHeight w:val="251"/>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(40,154)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(40,154)</w:t>
            </w:r>
          </w:p>
        </w:tc>
        <w:tc>
          <w:tcPr>
            <w:tcW w:w="0" w:type="dxa"/>
            <w:vAlign w:val="bottom"/>
          </w:tcPr>
          <w:p>
            <w:pPr>
              <w:spacing w:after="0"/>
              <w:rPr>
                <w:sz w:val="1"/>
                <w:szCs w:val="1"/>
                <w:color w:val="auto"/>
              </w:rPr>
            </w:pPr>
          </w:p>
        </w:tc>
      </w:tr>
      <w:tr>
        <w:trPr>
          <w:trHeight w:val="2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Common stock issuances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7,083</w:t>
            </w:r>
          </w:p>
        </w:tc>
        <w:tc>
          <w:tcPr>
            <w:tcW w:w="0" w:type="dxa"/>
            <w:vAlign w:val="bottom"/>
          </w:tcPr>
          <w:p>
            <w:pPr>
              <w:spacing w:after="0"/>
              <w:rPr>
                <w:sz w:val="1"/>
                <w:szCs w:val="1"/>
                <w:color w:val="auto"/>
              </w:rPr>
            </w:pPr>
          </w:p>
        </w:tc>
      </w:tr>
      <w:tr>
        <w:trPr>
          <w:trHeight w:val="251"/>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($0.62 per share)</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(44,847)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(44,847)</w:t>
            </w:r>
          </w:p>
        </w:tc>
        <w:tc>
          <w:tcPr>
            <w:tcW w:w="0" w:type="dxa"/>
            <w:vAlign w:val="bottom"/>
          </w:tcPr>
          <w:p>
            <w:pPr>
              <w:spacing w:after="0"/>
              <w:rPr>
                <w:sz w:val="1"/>
                <w:szCs w:val="1"/>
                <w:color w:val="auto"/>
              </w:rPr>
            </w:pPr>
          </w:p>
        </w:tc>
      </w:tr>
      <w:tr>
        <w:trPr>
          <w:trHeight w:val="2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Centuri stock sales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264,996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405,501</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Net income attributable to</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 holders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Foreign currency exchange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5,646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5,646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6,711</w:t>
            </w:r>
          </w:p>
        </w:tc>
        <w:tc>
          <w:tcPr>
            <w:tcW w:w="0" w:type="dxa"/>
            <w:vAlign w:val="bottom"/>
          </w:tcPr>
          <w:p>
            <w:pPr>
              <w:spacing w:after="0"/>
              <w:rPr>
                <w:sz w:val="1"/>
                <w:szCs w:val="1"/>
                <w:color w:val="auto"/>
              </w:rPr>
            </w:pPr>
          </w:p>
        </w:tc>
      </w:tr>
      <w:tr>
        <w:trPr>
          <w:trHeight w:val="22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translation adjustment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7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Net actuarial gain arising during</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70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period, less amortization of</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unamortized benefit plan cost, net of</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38"/>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Balance, June 30, 2025</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71,978</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73,608</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2,872,681</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(41,355)</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742,452</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3,647,386</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441,148</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4,088,534</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262,634</w:t>
            </w:r>
          </w:p>
        </w:tc>
        <w:tc>
          <w:tcPr>
            <w:tcW w:w="0" w:type="dxa"/>
            <w:vAlign w:val="bottom"/>
          </w:tcPr>
          <w:p>
            <w:pPr>
              <w:spacing w:after="0"/>
              <w:rPr>
                <w:sz w:val="1"/>
                <w:szCs w:val="1"/>
                <w:color w:val="auto"/>
              </w:rPr>
            </w:pPr>
          </w:p>
        </w:tc>
      </w:tr>
      <w:tr>
        <w:trPr>
          <w:trHeight w:val="2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Common stock issuances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18,708</w:t>
            </w:r>
          </w:p>
        </w:tc>
        <w:tc>
          <w:tcPr>
            <w:tcW w:w="0" w:type="dxa"/>
            <w:vAlign w:val="bottom"/>
          </w:tcPr>
          <w:p>
            <w:pPr>
              <w:spacing w:after="0"/>
              <w:rPr>
                <w:sz w:val="1"/>
                <w:szCs w:val="1"/>
                <w:color w:val="auto"/>
              </w:rPr>
            </w:pPr>
          </w:p>
        </w:tc>
      </w:tr>
      <w:tr>
        <w:trPr>
          <w:trHeight w:val="251"/>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($0.62 per share)</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(45,016)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(45,016)</w:t>
            </w:r>
          </w:p>
        </w:tc>
        <w:tc>
          <w:tcPr>
            <w:tcW w:w="0" w:type="dxa"/>
            <w:vAlign w:val="bottom"/>
          </w:tcPr>
          <w:p>
            <w:pPr>
              <w:spacing w:after="0"/>
              <w:rPr>
                <w:sz w:val="1"/>
                <w:szCs w:val="1"/>
                <w:color w:val="auto"/>
              </w:rPr>
            </w:pPr>
          </w:p>
        </w:tc>
      </w:tr>
      <w:tr>
        <w:trPr>
          <w:trHeight w:val="23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Centuri stock sales and other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20,569</w:t>
            </w:r>
          </w:p>
        </w:tc>
        <w:tc>
          <w:tcPr>
            <w:tcW w:w="0" w:type="dxa"/>
            <w:vAlign w:val="bottom"/>
          </w:tcPr>
          <w:p>
            <w:pPr>
              <w:spacing w:after="0"/>
              <w:rPr>
                <w:sz w:val="1"/>
                <w:szCs w:val="1"/>
                <w:color w:val="auto"/>
              </w:rPr>
            </w:pPr>
          </w:p>
        </w:tc>
      </w:tr>
      <w:tr>
        <w:trPr>
          <w:trHeight w:val="251"/>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Centuri deconsolidation</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(452,299)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(447,944)</w:t>
            </w:r>
          </w:p>
        </w:tc>
        <w:tc>
          <w:tcPr>
            <w:tcW w:w="0" w:type="dxa"/>
            <w:vAlign w:val="bottom"/>
          </w:tcPr>
          <w:p>
            <w:pPr>
              <w:spacing w:after="0"/>
              <w:rPr>
                <w:sz w:val="1"/>
                <w:szCs w:val="1"/>
                <w:color w:val="auto"/>
              </w:rPr>
            </w:pPr>
          </w:p>
        </w:tc>
      </w:tr>
      <w:tr>
        <w:trPr>
          <w:trHeight w:val="175"/>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Net loss attributable to</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(2,526)</w:t>
            </w:r>
          </w:p>
        </w:tc>
        <w:tc>
          <w:tcPr>
            <w:tcW w:w="0" w:type="dxa"/>
            <w:vAlign w:val="bottom"/>
          </w:tcPr>
          <w:p>
            <w:pPr>
              <w:spacing w:after="0"/>
              <w:rPr>
                <w:sz w:val="1"/>
                <w:szCs w:val="1"/>
                <w:color w:val="auto"/>
              </w:rPr>
            </w:pPr>
          </w:p>
        </w:tc>
      </w:tr>
      <w:tr>
        <w:trPr>
          <w:trHeight w:val="22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noncontrolling interest holders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7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Foreign currency exchange</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translation adjustment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Net actuarial gain arising during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70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period, less amortization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unamortized benefit plan cost, net of</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31"/>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tax</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September 30, 2025</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72,181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2,893,066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964,286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3,893,566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3,893,566</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7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83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20" w:type="dxa"/>
            <w:vAlign w:val="bottom"/>
            <w:gridSpan w:val="2"/>
          </w:tcPr>
          <w:p>
            <w:pPr>
              <w:jc w:val="center"/>
              <w:ind w:right="1410"/>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20" w:type="dxa"/>
            <w:vAlign w:val="bottom"/>
            <w:gridSpan w:val="2"/>
          </w:tcPr>
          <w:p>
            <w:pPr>
              <w:jc w:val="center"/>
              <w:ind w:right="1410"/>
              <w:spacing w:after="0"/>
              <w:rPr>
                <w:sz w:val="20"/>
                <w:szCs w:val="20"/>
                <w:color w:val="auto"/>
              </w:rPr>
            </w:pPr>
            <w:r>
              <w:rPr>
                <w:rFonts w:ascii="Times New Roman" w:cs="Times New Roman" w:eastAsia="Times New Roman" w:hAnsi="Times New Roman"/>
                <w:sz w:val="18"/>
                <w:szCs w:val="18"/>
                <w:color w:val="auto"/>
              </w:rPr>
              <w:t>(Unaudited)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Pr>
          <w:p>
            <w:pPr>
              <w:spacing w:after="0"/>
              <w:rPr>
                <w:sz w:val="24"/>
                <w:szCs w:val="24"/>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46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r>
      <w:tr>
        <w:trPr>
          <w:trHeight w:val="243"/>
        </w:trPr>
        <w:tc>
          <w:tcPr>
            <w:tcW w:w="4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Regulated operations plant:</w:t>
            </w:r>
          </w:p>
        </w:tc>
        <w:tc>
          <w:tcPr>
            <w:tcW w:w="2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Gas plant</w:t>
            </w:r>
          </w:p>
        </w:tc>
        <w:tc>
          <w:tcPr>
            <w:tcW w:w="342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12,077,830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11,517,031</w:t>
            </w:r>
          </w:p>
        </w:tc>
      </w:tr>
      <w:tr>
        <w:trPr>
          <w:trHeight w:val="243"/>
        </w:trPr>
        <w:tc>
          <w:tcPr>
            <w:tcW w:w="6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(3,063,363)</w:t>
            </w: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6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400,857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236,871</w:t>
            </w:r>
          </w:p>
        </w:tc>
      </w:tr>
      <w:tr>
        <w:trPr>
          <w:trHeight w:val="236"/>
        </w:trPr>
        <w:tc>
          <w:tcPr>
            <w:tcW w:w="6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8"/>
                <w:szCs w:val="18"/>
                <w:color w:val="auto"/>
              </w:rPr>
              <w:t>Net regulated operations plant</w:t>
            </w:r>
          </w:p>
        </w:tc>
        <w:tc>
          <w:tcPr>
            <w:tcW w:w="26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9,277,174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8,690,539</w:t>
            </w:r>
          </w:p>
        </w:tc>
      </w:tr>
      <w:tr>
        <w:trPr>
          <w:trHeight w:val="237"/>
        </w:trPr>
        <w:tc>
          <w:tcPr>
            <w:tcW w:w="4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 net</w:t>
            </w:r>
          </w:p>
        </w:tc>
        <w:tc>
          <w:tcPr>
            <w:tcW w:w="262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169,947</w:t>
            </w:r>
          </w:p>
        </w:tc>
      </w:tr>
      <w:tr>
        <w:trPr>
          <w:trHeight w:val="223"/>
        </w:trPr>
        <w:tc>
          <w:tcPr>
            <w:tcW w:w="4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56,408</w:t>
            </w:r>
          </w:p>
        </w:tc>
      </w:tr>
      <w:tr>
        <w:trPr>
          <w:trHeight w:val="243"/>
        </w:trPr>
        <w:tc>
          <w:tcPr>
            <w:tcW w:w="6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170,524</w:t>
            </w: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utility revenue</w:t>
            </w:r>
          </w:p>
        </w:tc>
        <w:tc>
          <w:tcPr>
            <w:tcW w:w="2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101,600</w:t>
            </w:r>
          </w:p>
        </w:tc>
      </w:tr>
      <w:tr>
        <w:trPr>
          <w:trHeight w:val="243"/>
        </w:trPr>
        <w:tc>
          <w:tcPr>
            <w:tcW w:w="6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Income taxes receivable, net</w:t>
            </w:r>
          </w:p>
        </w:tc>
        <w:tc>
          <w:tcPr>
            <w:tcW w:w="2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purchased gas costs</w:t>
            </w:r>
          </w:p>
        </w:tc>
        <w:tc>
          <w:tcPr>
            <w:tcW w:w="2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43"/>
        </w:trPr>
        <w:tc>
          <w:tcPr>
            <w:tcW w:w="6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Receivable from parent</w:t>
            </w:r>
          </w:p>
        </w:tc>
        <w:tc>
          <w:tcPr>
            <w:tcW w:w="2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105,550</w:t>
            </w: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Materials, supplies, and gas inventories</w:t>
            </w:r>
          </w:p>
        </w:tc>
        <w:tc>
          <w:tcPr>
            <w:tcW w:w="2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93,823</w:t>
            </w:r>
          </w:p>
        </w:tc>
      </w:tr>
      <w:tr>
        <w:trPr>
          <w:trHeight w:val="243"/>
        </w:trPr>
        <w:tc>
          <w:tcPr>
            <w:tcW w:w="6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342,637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234,003</w:t>
            </w:r>
          </w:p>
        </w:tc>
      </w:tr>
      <w:tr>
        <w:trPr>
          <w:trHeight w:val="237"/>
        </w:trPr>
        <w:tc>
          <w:tcPr>
            <w:tcW w:w="6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current assets</w:t>
            </w:r>
          </w:p>
        </w:tc>
        <w:tc>
          <w:tcPr>
            <w:tcW w:w="262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644,859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768,129</w:t>
            </w:r>
          </w:p>
        </w:tc>
      </w:tr>
      <w:tr>
        <w:trPr>
          <w:trHeight w:val="223"/>
        </w:trPr>
        <w:tc>
          <w:tcPr>
            <w:tcW w:w="4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Goodwill</w:t>
            </w:r>
          </w:p>
        </w:tc>
        <w:tc>
          <w:tcPr>
            <w:tcW w:w="2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r>
      <w:tr>
        <w:trPr>
          <w:trHeight w:val="243"/>
        </w:trPr>
        <w:tc>
          <w:tcPr>
            <w:tcW w:w="6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6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424,790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354,221</w:t>
            </w:r>
          </w:p>
        </w:tc>
      </w:tr>
      <w:tr>
        <w:trPr>
          <w:trHeight w:val="236"/>
        </w:trPr>
        <w:tc>
          <w:tcPr>
            <w:tcW w:w="6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62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435,945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365,376</w:t>
            </w:r>
          </w:p>
        </w:tc>
      </w:tr>
      <w:tr>
        <w:trPr>
          <w:trHeight w:val="237"/>
        </w:trPr>
        <w:tc>
          <w:tcPr>
            <w:tcW w:w="4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10,534,402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9,993,991</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CAPITALIZATION AND LIABILITIES</w:t>
            </w:r>
          </w:p>
        </w:tc>
        <w:tc>
          <w:tcPr>
            <w:tcW w:w="2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43"/>
        </w:trPr>
        <w:tc>
          <w:tcPr>
            <w:tcW w:w="4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Common stock</w:t>
            </w:r>
          </w:p>
        </w:tc>
        <w:tc>
          <w:tcPr>
            <w:tcW w:w="342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49,112</w:t>
            </w:r>
          </w:p>
        </w:tc>
      </w:tr>
      <w:tr>
        <w:trPr>
          <w:trHeight w:val="243"/>
        </w:trPr>
        <w:tc>
          <w:tcPr>
            <w:tcW w:w="6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2,195,489</w:t>
            </w: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w:t>
            </w:r>
          </w:p>
        </w:tc>
      </w:tr>
      <w:tr>
        <w:trPr>
          <w:trHeight w:val="243"/>
        </w:trPr>
        <w:tc>
          <w:tcPr>
            <w:tcW w:w="6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26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1,505,750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1,314,911</w:t>
            </w:r>
          </w:p>
        </w:tc>
      </w:tr>
      <w:tr>
        <w:trPr>
          <w:trHeight w:val="236"/>
        </w:trPr>
        <w:tc>
          <w:tcPr>
            <w:tcW w:w="6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equity</w:t>
            </w:r>
          </w:p>
        </w:tc>
        <w:tc>
          <w:tcPr>
            <w:tcW w:w="26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4,030,322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3,524,966</w:t>
            </w:r>
          </w:p>
        </w:tc>
      </w:tr>
      <w:tr>
        <w:trPr>
          <w:trHeight w:val="243"/>
        </w:trPr>
        <w:tc>
          <w:tcPr>
            <w:tcW w:w="6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6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3,499,280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3,433,012</w:t>
            </w:r>
          </w:p>
        </w:tc>
      </w:tr>
      <w:tr>
        <w:trPr>
          <w:trHeight w:val="237"/>
        </w:trPr>
        <w:tc>
          <w:tcPr>
            <w:tcW w:w="6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capitalization</w:t>
            </w:r>
          </w:p>
        </w:tc>
        <w:tc>
          <w:tcPr>
            <w:tcW w:w="262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7,529,602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6,957,978</w:t>
            </w:r>
          </w:p>
        </w:tc>
      </w:tr>
      <w:tr>
        <w:trPr>
          <w:trHeight w:val="223"/>
        </w:trPr>
        <w:tc>
          <w:tcPr>
            <w:tcW w:w="4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43"/>
        </w:trPr>
        <w:tc>
          <w:tcPr>
            <w:tcW w:w="6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225,337</w:t>
            </w: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Customer deposits</w:t>
            </w:r>
          </w:p>
        </w:tc>
        <w:tc>
          <w:tcPr>
            <w:tcW w:w="2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67,249</w:t>
            </w:r>
          </w:p>
        </w:tc>
      </w:tr>
      <w:tr>
        <w:trPr>
          <w:trHeight w:val="243"/>
        </w:trPr>
        <w:tc>
          <w:tcPr>
            <w:tcW w:w="6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Accrued general taxes</w:t>
            </w:r>
          </w:p>
        </w:tc>
        <w:tc>
          <w:tcPr>
            <w:tcW w:w="2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54,384</w:t>
            </w: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w:t>
            </w:r>
          </w:p>
        </w:tc>
        <w:tc>
          <w:tcPr>
            <w:tcW w:w="2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35,319</w:t>
            </w:r>
          </w:p>
        </w:tc>
      </w:tr>
      <w:tr>
        <w:trPr>
          <w:trHeight w:val="243"/>
        </w:trPr>
        <w:tc>
          <w:tcPr>
            <w:tcW w:w="6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Deferred purchased gas costs</w:t>
            </w:r>
          </w:p>
        </w:tc>
        <w:tc>
          <w:tcPr>
            <w:tcW w:w="2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310,085</w:t>
            </w: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Payable to parent</w:t>
            </w:r>
          </w:p>
        </w:tc>
        <w:tc>
          <w:tcPr>
            <w:tcW w:w="2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127,197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117,350</w:t>
            </w:r>
          </w:p>
        </w:tc>
      </w:tr>
      <w:tr>
        <w:trPr>
          <w:trHeight w:val="236"/>
        </w:trPr>
        <w:tc>
          <w:tcPr>
            <w:tcW w:w="6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2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749,006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884,724</w:t>
            </w:r>
          </w:p>
        </w:tc>
      </w:tr>
      <w:tr>
        <w:trPr>
          <w:trHeight w:val="223"/>
        </w:trPr>
        <w:tc>
          <w:tcPr>
            <w:tcW w:w="4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credits:</w:t>
            </w:r>
          </w:p>
        </w:tc>
        <w:tc>
          <w:tcPr>
            <w:tcW w:w="2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income taxes and investment tax credits, net</w:t>
            </w:r>
          </w:p>
        </w:tc>
        <w:tc>
          <w:tcPr>
            <w:tcW w:w="2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1,027,921</w:t>
            </w:r>
          </w:p>
        </w:tc>
      </w:tr>
      <w:tr>
        <w:trPr>
          <w:trHeight w:val="243"/>
        </w:trPr>
        <w:tc>
          <w:tcPr>
            <w:tcW w:w="60" w:type="dxa"/>
            <w:vAlign w:val="bottom"/>
          </w:tcPr>
          <w:p>
            <w:pPr>
              <w:spacing w:after="0"/>
              <w:rPr>
                <w:sz w:val="21"/>
                <w:szCs w:val="21"/>
                <w:color w:val="auto"/>
              </w:rPr>
            </w:pPr>
          </w:p>
        </w:tc>
        <w:tc>
          <w:tcPr>
            <w:tcW w:w="4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Accumulated removal costs</w:t>
            </w:r>
          </w:p>
        </w:tc>
        <w:tc>
          <w:tcPr>
            <w:tcW w:w="2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496,000</w:t>
            </w:r>
          </w:p>
        </w:tc>
      </w:tr>
      <w:tr>
        <w:trPr>
          <w:trHeight w:val="243"/>
        </w:trPr>
        <w:tc>
          <w:tcPr>
            <w:tcW w:w="6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deferred credits and other long-term liabilities</w:t>
            </w:r>
          </w:p>
        </w:tc>
        <w:tc>
          <w:tcPr>
            <w:tcW w:w="26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650,670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627,368</w:t>
            </w:r>
          </w:p>
        </w:tc>
      </w:tr>
      <w:tr>
        <w:trPr>
          <w:trHeight w:val="236"/>
        </w:trPr>
        <w:tc>
          <w:tcPr>
            <w:tcW w:w="6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8"/>
                <w:szCs w:val="18"/>
                <w:color w:val="auto"/>
              </w:rPr>
              <w:t>Total deferred income taxes and other credits</w:t>
            </w:r>
          </w:p>
        </w:tc>
        <w:tc>
          <w:tcPr>
            <w:tcW w:w="26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2,255,794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2,151,289</w:t>
            </w:r>
          </w:p>
        </w:tc>
      </w:tr>
      <w:tr>
        <w:trPr>
          <w:trHeight w:val="256"/>
        </w:trPr>
        <w:tc>
          <w:tcPr>
            <w:tcW w:w="4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 and liabilities</w:t>
            </w:r>
          </w:p>
        </w:tc>
        <w:tc>
          <w:tcPr>
            <w:tcW w:w="342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10,534,402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9,993,991</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40"/>
          </w:cols>
          <w:pgMar w:left="320" w:top="270" w:right="339" w:bottom="92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92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83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rPr>
              <w:t>(In thousands)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rPr>
              <w:t>(Unaudited)</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10"/>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1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60" w:type="dxa"/>
            <w:vAlign w:val="bottom"/>
            <w:tcBorders>
              <w:top w:val="single" w:sz="8" w:color="CCEEFF"/>
            </w:tcBorders>
            <w:shd w:val="clear" w:color="auto" w:fill="CCEEFF"/>
          </w:tcPr>
          <w:p>
            <w:pPr>
              <w:spacing w:after="0"/>
              <w:rPr>
                <w:sz w:val="20"/>
                <w:szCs w:val="20"/>
                <w:color w:val="auto"/>
              </w:rPr>
            </w:pPr>
          </w:p>
        </w:tc>
        <w:tc>
          <w:tcPr>
            <w:tcW w:w="28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4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3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298,183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316,911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1,461,745</w:t>
            </w:r>
          </w:p>
        </w:tc>
      </w:tr>
      <w:tr>
        <w:trPr>
          <w:trHeight w:val="223"/>
        </w:trPr>
        <w:tc>
          <w:tcPr>
            <w:tcW w:w="31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Net cost of gas sold</w:t>
            </w:r>
          </w:p>
        </w:tc>
        <w:tc>
          <w:tcPr>
            <w:tcW w:w="3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429,398</w:t>
            </w:r>
          </w:p>
        </w:tc>
      </w:tr>
      <w:tr>
        <w:trPr>
          <w:trHeight w:val="243"/>
        </w:trPr>
        <w:tc>
          <w:tcPr>
            <w:tcW w:w="60" w:type="dxa"/>
            <w:vAlign w:val="bottom"/>
            <w:shd w:val="clear" w:color="auto" w:fill="CCEEFF"/>
          </w:tcPr>
          <w:p>
            <w:pPr>
              <w:spacing w:after="0"/>
              <w:rPr>
                <w:sz w:val="21"/>
                <w:szCs w:val="21"/>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399,867</w:t>
            </w:r>
          </w:p>
        </w:tc>
      </w:tr>
      <w:tr>
        <w:trPr>
          <w:trHeight w:val="243"/>
        </w:trPr>
        <w:tc>
          <w:tcPr>
            <w:tcW w:w="60" w:type="dxa"/>
            <w:vAlign w:val="bottom"/>
          </w:tcPr>
          <w:p>
            <w:pPr>
              <w:spacing w:after="0"/>
              <w:rPr>
                <w:sz w:val="21"/>
                <w:szCs w:val="21"/>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241,703</w:t>
            </w:r>
          </w:p>
        </w:tc>
      </w:tr>
      <w:tr>
        <w:trPr>
          <w:trHeight w:val="243"/>
        </w:trPr>
        <w:tc>
          <w:tcPr>
            <w:tcW w:w="60" w:type="dxa"/>
            <w:vAlign w:val="bottom"/>
            <w:shd w:val="clear" w:color="auto" w:fill="CCEEFF"/>
          </w:tcPr>
          <w:p>
            <w:pPr>
              <w:spacing w:after="0"/>
              <w:rPr>
                <w:sz w:val="21"/>
                <w:szCs w:val="21"/>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4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70,379</w:t>
            </w:r>
          </w:p>
        </w:tc>
      </w:tr>
      <w:tr>
        <w:trPr>
          <w:trHeight w:val="237"/>
        </w:trPr>
        <w:tc>
          <w:tcPr>
            <w:tcW w:w="60" w:type="dxa"/>
            <w:vAlign w:val="bottom"/>
            <w:tcBorders>
              <w:bottom w:val="single" w:sz="8" w:color="CCEEFF"/>
            </w:tcBorders>
          </w:tcPr>
          <w:p>
            <w:pPr>
              <w:spacing w:after="0"/>
              <w:rPr>
                <w:sz w:val="20"/>
                <w:szCs w:val="20"/>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261,526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278,934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898,627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1,141,347</w:t>
            </w:r>
          </w:p>
        </w:tc>
      </w:tr>
      <w:tr>
        <w:trPr>
          <w:trHeight w:val="237"/>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36,657</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342,829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320,398</w:t>
            </w:r>
          </w:p>
        </w:tc>
      </w:tr>
      <w:tr>
        <w:trPr>
          <w:trHeight w:val="22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60" w:type="dxa"/>
            <w:vAlign w:val="bottom"/>
            <w:shd w:val="clear" w:color="auto" w:fill="CCEEFF"/>
          </w:tcPr>
          <w:p>
            <w:pPr>
              <w:spacing w:after="0"/>
              <w:rPr>
                <w:sz w:val="21"/>
                <w:szCs w:val="21"/>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interest deductions</w:t>
            </w:r>
          </w:p>
        </w:tc>
        <w:tc>
          <w:tcPr>
            <w:tcW w:w="3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(135,524)</w:t>
            </w:r>
          </w:p>
        </w:tc>
      </w:tr>
      <w:tr>
        <w:trPr>
          <w:trHeight w:val="243"/>
        </w:trPr>
        <w:tc>
          <w:tcPr>
            <w:tcW w:w="60" w:type="dxa"/>
            <w:vAlign w:val="bottom"/>
            <w:tcBorders>
              <w:bottom w:val="single" w:sz="8" w:color="CCEEFF"/>
            </w:tcBorders>
          </w:tcPr>
          <w:p>
            <w:pPr>
              <w:spacing w:after="0"/>
              <w:rPr>
                <w:sz w:val="21"/>
                <w:szCs w:val="21"/>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8"/>
                <w:szCs w:val="18"/>
                <w:color w:val="auto"/>
              </w:rPr>
              <w:t>Other income</w:t>
            </w:r>
          </w:p>
        </w:tc>
        <w:tc>
          <w:tcPr>
            <w:tcW w:w="3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40,385</w:t>
            </w:r>
          </w:p>
        </w:tc>
      </w:tr>
      <w:tr>
        <w:trPr>
          <w:trHeight w:val="237"/>
        </w:trPr>
        <w:tc>
          <w:tcPr>
            <w:tcW w:w="60" w:type="dxa"/>
            <w:vAlign w:val="bottom"/>
            <w:shd w:val="clear" w:color="auto" w:fill="CCEEFF"/>
          </w:tcPr>
          <w:p>
            <w:pPr>
              <w:spacing w:after="0"/>
              <w:rPr>
                <w:sz w:val="20"/>
                <w:szCs w:val="20"/>
                <w:color w:val="auto"/>
              </w:rPr>
            </w:pPr>
          </w:p>
        </w:tc>
        <w:tc>
          <w:tcPr>
            <w:tcW w:w="3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other (expenses)</w:t>
            </w:r>
          </w:p>
        </w:tc>
        <w:tc>
          <w:tcPr>
            <w:tcW w:w="34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(95,139)</w:t>
            </w:r>
          </w:p>
        </w:tc>
      </w:tr>
      <w:tr>
        <w:trPr>
          <w:trHeight w:val="23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225,259</w:t>
            </w:r>
          </w:p>
        </w:tc>
      </w:tr>
      <w:tr>
        <w:trPr>
          <w:trHeight w:val="243"/>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30,675</w:t>
            </w:r>
          </w:p>
        </w:tc>
      </w:tr>
      <w:tr>
        <w:trPr>
          <w:trHeight w:val="23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194,584</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83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980" w:type="dxa"/>
            <w:vAlign w:val="bottom"/>
            <w:gridSpan w:val="9"/>
          </w:tcPr>
          <w:p>
            <w:pPr>
              <w:jc w:val="center"/>
              <w:ind w:left="2050"/>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0"/>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4"/>
                <w:szCs w:val="24"/>
                <w:color w:val="auto"/>
              </w:rPr>
            </w:pPr>
          </w:p>
        </w:tc>
        <w:tc>
          <w:tcPr>
            <w:tcW w:w="19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60" w:type="dxa"/>
            <w:vAlign w:val="bottom"/>
            <w:tcBorders>
              <w:top w:val="single" w:sz="8" w:color="CCEEFF"/>
            </w:tcBorders>
            <w:shd w:val="clear" w:color="auto" w:fill="CCEEFF"/>
          </w:tcPr>
          <w:p>
            <w:pPr>
              <w:spacing w:after="0"/>
              <w:rPr>
                <w:sz w:val="20"/>
                <w:szCs w:val="20"/>
                <w:color w:val="auto"/>
              </w:rPr>
            </w:pPr>
          </w:p>
        </w:tc>
        <w:tc>
          <w:tcPr>
            <w:tcW w:w="28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67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191,782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194,584</w:t>
            </w:r>
          </w:p>
        </w:tc>
      </w:tr>
      <w:tr>
        <w:trPr>
          <w:trHeight w:val="223"/>
        </w:trPr>
        <w:tc>
          <w:tcPr>
            <w:tcW w:w="6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6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9"/>
        </w:trPr>
        <w:tc>
          <w:tcPr>
            <w:tcW w:w="60" w:type="dxa"/>
            <w:vAlign w:val="bottom"/>
            <w:shd w:val="clear" w:color="auto" w:fill="CCEEFF"/>
          </w:tcPr>
          <w:p>
            <w:pPr>
              <w:spacing w:after="0"/>
              <w:rPr>
                <w:sz w:val="16"/>
                <w:szCs w:val="16"/>
                <w:color w:val="auto"/>
              </w:rPr>
            </w:pPr>
          </w:p>
        </w:tc>
        <w:tc>
          <w:tcPr>
            <w:tcW w:w="6720" w:type="dxa"/>
            <w:vAlign w:val="bottom"/>
            <w:gridSpan w:val="3"/>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Amortization of prior service cost, net of tax of $11, $11, $33 and $33,</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43"/>
        </w:trPr>
        <w:tc>
          <w:tcPr>
            <w:tcW w:w="60" w:type="dxa"/>
            <w:vAlign w:val="bottom"/>
            <w:shd w:val="clear" w:color="auto" w:fill="CCEEFF"/>
          </w:tcPr>
          <w:p>
            <w:pPr>
              <w:spacing w:after="0"/>
              <w:rPr>
                <w:sz w:val="21"/>
                <w:szCs w:val="21"/>
                <w:color w:val="auto"/>
              </w:rPr>
            </w:pPr>
          </w:p>
        </w:tc>
        <w:tc>
          <w:tcPr>
            <w:tcW w:w="6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189"/>
        </w:trPr>
        <w:tc>
          <w:tcPr>
            <w:tcW w:w="60" w:type="dxa"/>
            <w:vAlign w:val="bottom"/>
          </w:tcPr>
          <w:p>
            <w:pPr>
              <w:spacing w:after="0"/>
              <w:rPr>
                <w:sz w:val="16"/>
                <w:szCs w:val="16"/>
                <w:color w:val="auto"/>
              </w:rPr>
            </w:pPr>
          </w:p>
        </w:tc>
        <w:tc>
          <w:tcPr>
            <w:tcW w:w="672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8"/>
                <w:szCs w:val="18"/>
                <w:color w:val="auto"/>
              </w:rPr>
              <w:t>Amortization of net actuarial loss, net of tax of $606, $226, $1,818 and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3"/>
        </w:trPr>
        <w:tc>
          <w:tcPr>
            <w:tcW w:w="60" w:type="dxa"/>
            <w:vAlign w:val="bottom"/>
          </w:tcPr>
          <w:p>
            <w:pPr>
              <w:spacing w:after="0"/>
              <w:rPr>
                <w:sz w:val="21"/>
                <w:szCs w:val="21"/>
                <w:color w:val="auto"/>
              </w:rPr>
            </w:pPr>
          </w:p>
        </w:tc>
        <w:tc>
          <w:tcPr>
            <w:tcW w:w="6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$678, respectively</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189"/>
        </w:trPr>
        <w:tc>
          <w:tcPr>
            <w:tcW w:w="60" w:type="dxa"/>
            <w:vAlign w:val="bottom"/>
            <w:shd w:val="clear" w:color="auto" w:fill="CCEEFF"/>
          </w:tcPr>
          <w:p>
            <w:pPr>
              <w:spacing w:after="0"/>
              <w:rPr>
                <w:sz w:val="16"/>
                <w:szCs w:val="16"/>
                <w:color w:val="auto"/>
              </w:rPr>
            </w:pPr>
          </w:p>
        </w:tc>
        <w:tc>
          <w:tcPr>
            <w:tcW w:w="6720" w:type="dxa"/>
            <w:vAlign w:val="bottom"/>
            <w:gridSpan w:val="3"/>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Regulatory adjustment, net of tax of $(658), $(153), $5,882 and $(457),</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43"/>
        </w:trPr>
        <w:tc>
          <w:tcPr>
            <w:tcW w:w="60" w:type="dxa"/>
            <w:vAlign w:val="bottom"/>
            <w:shd w:val="clear" w:color="auto" w:fill="CCEEFF"/>
          </w:tcPr>
          <w:p>
            <w:pPr>
              <w:spacing w:after="0"/>
              <w:rPr>
                <w:sz w:val="21"/>
                <w:szCs w:val="21"/>
                <w:color w:val="auto"/>
              </w:rPr>
            </w:pPr>
          </w:p>
        </w:tc>
        <w:tc>
          <w:tcPr>
            <w:tcW w:w="6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37"/>
        </w:trPr>
        <w:tc>
          <w:tcPr>
            <w:tcW w:w="67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Net defined benefit pension plans, net of tax</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7"/>
        </w:trPr>
        <w:tc>
          <w:tcPr>
            <w:tcW w:w="6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7"/>
        </w:trPr>
        <w:tc>
          <w:tcPr>
            <w:tcW w:w="6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216,268</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195,388</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September 30, 2026</w:t>
            </w:r>
          </w:p>
        </w:tc>
      </w:tr>
      <w:tr>
        <w:trPr>
          <w:trHeight w:val="83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(Unaudited)</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10"/>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9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194,584</w:t>
            </w:r>
          </w:p>
        </w:tc>
      </w:tr>
      <w:tr>
        <w:trPr>
          <w:trHeight w:val="243"/>
        </w:trPr>
        <w:tc>
          <w:tcPr>
            <w:tcW w:w="60" w:type="dxa"/>
            <w:vAlign w:val="bottom"/>
          </w:tcPr>
          <w:p>
            <w:pPr>
              <w:spacing w:after="0"/>
              <w:rPr>
                <w:sz w:val="21"/>
                <w:szCs w:val="21"/>
                <w:color w:val="auto"/>
              </w:rPr>
            </w:pPr>
          </w:p>
        </w:tc>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241,703</w:t>
            </w:r>
          </w:p>
        </w:tc>
      </w:tr>
      <w:tr>
        <w:trPr>
          <w:trHeight w:val="243"/>
        </w:trPr>
        <w:tc>
          <w:tcPr>
            <w:tcW w:w="60" w:type="dxa"/>
            <w:vAlign w:val="bottom"/>
          </w:tcPr>
          <w:p>
            <w:pPr>
              <w:spacing w:after="0"/>
              <w:rPr>
                <w:sz w:val="21"/>
                <w:szCs w:val="21"/>
                <w:color w:val="auto"/>
              </w:rPr>
            </w:pPr>
          </w:p>
        </w:tc>
        <w:tc>
          <w:tcPr>
            <w:tcW w:w="78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42,545</w:t>
            </w: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Gain on sale of property</w:t>
            </w:r>
          </w:p>
        </w:tc>
        <w:tc>
          <w:tcPr>
            <w:tcW w:w="4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43"/>
        </w:trPr>
        <w:tc>
          <w:tcPr>
            <w:tcW w:w="60" w:type="dxa"/>
            <w:vAlign w:val="bottom"/>
          </w:tcPr>
          <w:p>
            <w:pPr>
              <w:spacing w:after="0"/>
              <w:rPr>
                <w:sz w:val="21"/>
                <w:szCs w:val="21"/>
                <w:color w:val="auto"/>
              </w:rPr>
            </w:pPr>
          </w:p>
        </w:tc>
        <w:tc>
          <w:tcPr>
            <w:tcW w:w="78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Equity AFUDC</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43"/>
        </w:trPr>
        <w:tc>
          <w:tcPr>
            <w:tcW w:w="60" w:type="dxa"/>
            <w:vAlign w:val="bottom"/>
          </w:tcPr>
          <w:p>
            <w:pPr>
              <w:spacing w:after="0"/>
              <w:rPr>
                <w:sz w:val="21"/>
                <w:szCs w:val="21"/>
                <w:color w:val="auto"/>
              </w:rPr>
            </w:pPr>
          </w:p>
        </w:tc>
        <w:tc>
          <w:tcPr>
            <w:tcW w:w="78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90,272</w:t>
            </w:r>
          </w:p>
        </w:tc>
      </w:tr>
      <w:tr>
        <w:trPr>
          <w:trHeight w:val="243"/>
        </w:trPr>
        <w:tc>
          <w:tcPr>
            <w:tcW w:w="60" w:type="dxa"/>
            <w:vAlign w:val="bottom"/>
          </w:tcPr>
          <w:p>
            <w:pPr>
              <w:spacing w:after="0"/>
              <w:rPr>
                <w:sz w:val="21"/>
                <w:szCs w:val="21"/>
                <w:color w:val="auto"/>
              </w:rPr>
            </w:pPr>
          </w:p>
        </w:tc>
        <w:tc>
          <w:tcPr>
            <w:tcW w:w="78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Accrued utility revenue</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w:t>
            </w: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Deferred purchased gas costs</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116,765</w:t>
            </w:r>
          </w:p>
        </w:tc>
      </w:tr>
      <w:tr>
        <w:trPr>
          <w:trHeight w:val="243"/>
        </w:trPr>
        <w:tc>
          <w:tcPr>
            <w:tcW w:w="60" w:type="dxa"/>
            <w:vAlign w:val="bottom"/>
          </w:tcPr>
          <w:p>
            <w:pPr>
              <w:spacing w:after="0"/>
              <w:rPr>
                <w:sz w:val="21"/>
                <w:szCs w:val="21"/>
                <w:color w:val="auto"/>
              </w:rPr>
            </w:pPr>
          </w:p>
        </w:tc>
        <w:tc>
          <w:tcPr>
            <w:tcW w:w="78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(68,234)</w:t>
            </w: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Accrued taxes</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43"/>
        </w:trPr>
        <w:tc>
          <w:tcPr>
            <w:tcW w:w="60" w:type="dxa"/>
            <w:vAlign w:val="bottom"/>
          </w:tcPr>
          <w:p>
            <w:pPr>
              <w:spacing w:after="0"/>
              <w:rPr>
                <w:sz w:val="21"/>
                <w:szCs w:val="21"/>
                <w:color w:val="auto"/>
              </w:rPr>
            </w:pPr>
          </w:p>
        </w:tc>
        <w:tc>
          <w:tcPr>
            <w:tcW w:w="78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Receivable from parent</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Other current assets and liabilities</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(74,382)</w:t>
            </w:r>
          </w:p>
        </w:tc>
      </w:tr>
      <w:tr>
        <w:trPr>
          <w:trHeight w:val="243"/>
        </w:trPr>
        <w:tc>
          <w:tcPr>
            <w:tcW w:w="60" w:type="dxa"/>
            <w:vAlign w:val="bottom"/>
          </w:tcPr>
          <w:p>
            <w:pPr>
              <w:spacing w:after="0"/>
              <w:rPr>
                <w:sz w:val="21"/>
                <w:szCs w:val="21"/>
                <w:color w:val="auto"/>
              </w:rPr>
            </w:pPr>
          </w:p>
        </w:tc>
        <w:tc>
          <w:tcPr>
            <w:tcW w:w="78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Changes in deferred charges and other assets</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(42,684)</w:t>
            </w: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Changes in other liabilities and deferred credits</w:t>
            </w:r>
          </w:p>
        </w:tc>
        <w:tc>
          <w:tcPr>
            <w:tcW w:w="4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w:t>
            </w:r>
          </w:p>
        </w:tc>
      </w:tr>
      <w:tr>
        <w:trPr>
          <w:trHeight w:val="236"/>
        </w:trPr>
        <w:tc>
          <w:tcPr>
            <w:tcW w:w="60" w:type="dxa"/>
            <w:vAlign w:val="bottom"/>
            <w:tcBorders>
              <w:bottom w:val="single" w:sz="8" w:color="CCEEFF"/>
            </w:tcBorders>
          </w:tcPr>
          <w:p>
            <w:pPr>
              <w:spacing w:after="0"/>
              <w:rPr>
                <w:sz w:val="20"/>
                <w:szCs w:val="20"/>
                <w:color w:val="auto"/>
              </w:rPr>
            </w:pPr>
          </w:p>
        </w:tc>
        <w:tc>
          <w:tcPr>
            <w:tcW w:w="784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485,188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526,359</w:t>
            </w:r>
          </w:p>
        </w:tc>
      </w:tr>
      <w:tr>
        <w:trPr>
          <w:trHeight w:val="223"/>
        </w:trPr>
        <w:tc>
          <w:tcPr>
            <w:tcW w:w="7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Capital expenditures and property additions</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(570,351)</w:t>
            </w: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the sale of property</w:t>
            </w:r>
          </w:p>
        </w:tc>
        <w:tc>
          <w:tcPr>
            <w:tcW w:w="4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r>
      <w:tr>
        <w:trPr>
          <w:trHeight w:val="243"/>
        </w:trPr>
        <w:tc>
          <w:tcPr>
            <w:tcW w:w="60" w:type="dxa"/>
            <w:vAlign w:val="bottom"/>
          </w:tcPr>
          <w:p>
            <w:pPr>
              <w:spacing w:after="0"/>
              <w:rPr>
                <w:sz w:val="21"/>
                <w:szCs w:val="21"/>
                <w:color w:val="auto"/>
              </w:rPr>
            </w:pPr>
          </w:p>
        </w:tc>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Changes in customer advances</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37"/>
        </w:trPr>
        <w:tc>
          <w:tcPr>
            <w:tcW w:w="60" w:type="dxa"/>
            <w:vAlign w:val="bottom"/>
            <w:tcBorders>
              <w:bottom w:val="single" w:sz="8" w:color="CCEEFF"/>
            </w:tcBorders>
          </w:tcPr>
          <w:p>
            <w:pPr>
              <w:spacing w:after="0"/>
              <w:rPr>
                <w:sz w:val="20"/>
                <w:szCs w:val="20"/>
                <w:color w:val="auto"/>
              </w:rPr>
            </w:pPr>
          </w:p>
        </w:tc>
        <w:tc>
          <w:tcPr>
            <w:tcW w:w="784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(790,399)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(560,859)</w:t>
            </w:r>
          </w:p>
        </w:tc>
      </w:tr>
      <w:tr>
        <w:trPr>
          <w:trHeight w:val="223"/>
        </w:trPr>
        <w:tc>
          <w:tcPr>
            <w:tcW w:w="7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Contribution from parent</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Dividends paid</w:t>
            </w:r>
          </w:p>
        </w:tc>
        <w:tc>
          <w:tcPr>
            <w:tcW w:w="4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(89,209)</w:t>
            </w:r>
          </w:p>
        </w:tc>
      </w:tr>
      <w:tr>
        <w:trPr>
          <w:trHeight w:val="243"/>
        </w:trPr>
        <w:tc>
          <w:tcPr>
            <w:tcW w:w="60" w:type="dxa"/>
            <w:vAlign w:val="bottom"/>
          </w:tcPr>
          <w:p>
            <w:pPr>
              <w:spacing w:after="0"/>
              <w:rPr>
                <w:sz w:val="21"/>
                <w:szCs w:val="21"/>
                <w:color w:val="auto"/>
              </w:rPr>
            </w:pPr>
          </w:p>
        </w:tc>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Retirement of long-term debt</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long-term commercial paper</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 w:type="dxa"/>
            <w:vAlign w:val="bottom"/>
          </w:tcPr>
          <w:p>
            <w:pPr>
              <w:spacing w:after="0"/>
              <w:rPr>
                <w:sz w:val="21"/>
                <w:szCs w:val="21"/>
                <w:color w:val="auto"/>
              </w:rPr>
            </w:pPr>
          </w:p>
        </w:tc>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Withholding remittance - share-based compensation</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43"/>
        </w:trPr>
        <w:tc>
          <w:tcPr>
            <w:tcW w:w="60" w:type="dxa"/>
            <w:vAlign w:val="bottom"/>
            <w:shd w:val="clear" w:color="auto" w:fill="CCEEFF"/>
          </w:tcPr>
          <w:p>
            <w:pPr>
              <w:spacing w:after="0"/>
              <w:rPr>
                <w:sz w:val="21"/>
                <w:szCs w:val="21"/>
                <w:color w:val="auto"/>
              </w:rPr>
            </w:pPr>
          </w:p>
        </w:tc>
        <w:tc>
          <w:tcPr>
            <w:tcW w:w="7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including principal payments on finance leases</w:t>
            </w:r>
          </w:p>
        </w:tc>
        <w:tc>
          <w:tcPr>
            <w:tcW w:w="4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r>
      <w:tr>
        <w:trPr>
          <w:trHeight w:val="236"/>
        </w:trPr>
        <w:tc>
          <w:tcPr>
            <w:tcW w:w="60" w:type="dxa"/>
            <w:vAlign w:val="bottom"/>
            <w:tcBorders>
              <w:bottom w:val="single" w:sz="8" w:color="CCEEFF"/>
            </w:tcBorders>
          </w:tcPr>
          <w:p>
            <w:pPr>
              <w:spacing w:after="0"/>
              <w:rPr>
                <w:sz w:val="20"/>
                <w:szCs w:val="20"/>
                <w:color w:val="auto"/>
              </w:rPr>
            </w:pPr>
          </w:p>
        </w:tc>
        <w:tc>
          <w:tcPr>
            <w:tcW w:w="784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295,448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(94,577)</w:t>
            </w:r>
          </w:p>
        </w:tc>
      </w:tr>
      <w:tr>
        <w:trPr>
          <w:trHeight w:val="237"/>
        </w:trPr>
        <w:tc>
          <w:tcPr>
            <w:tcW w:w="7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(129,077)</w:t>
            </w:r>
          </w:p>
        </w:tc>
      </w:tr>
      <w:tr>
        <w:trPr>
          <w:trHeight w:val="243"/>
        </w:trPr>
        <w:tc>
          <w:tcPr>
            <w:tcW w:w="79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311,073</w:t>
            </w:r>
          </w:p>
        </w:tc>
      </w:tr>
      <w:tr>
        <w:trPr>
          <w:trHeight w:val="261"/>
        </w:trPr>
        <w:tc>
          <w:tcPr>
            <w:tcW w:w="79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181,996</w:t>
            </w:r>
          </w:p>
        </w:tc>
      </w:tr>
      <w:tr>
        <w:trPr>
          <w:trHeight w:val="20"/>
        </w:trPr>
        <w:tc>
          <w:tcPr>
            <w:tcW w:w="7900" w:type="dxa"/>
            <w:vAlign w:val="bottom"/>
            <w:tcBorders>
              <w:top w:val="single" w:sz="8" w:color="CCEEFF"/>
            </w:tcBorders>
            <w:gridSpan w:val="4"/>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43"/>
        </w:trPr>
        <w:tc>
          <w:tcPr>
            <w:tcW w:w="7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128,858</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7"/>
        </w:trPr>
        <w:tc>
          <w:tcPr>
            <w:tcW w:w="60" w:type="dxa"/>
            <w:vAlign w:val="bottom"/>
            <w:shd w:val="clear" w:color="auto" w:fill="CCEEFF"/>
          </w:tcPr>
          <w:p>
            <w:pPr>
              <w:spacing w:after="0"/>
              <w:rPr>
                <w:sz w:val="22"/>
                <w:szCs w:val="22"/>
                <w:color w:val="auto"/>
              </w:rPr>
            </w:pPr>
          </w:p>
        </w:tc>
        <w:tc>
          <w:tcPr>
            <w:tcW w:w="78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Income taxes paid, net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gridSpan w:val="3"/>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Decrease of capital expenditures in Accounts payable or Other current liabilities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62"/>
        </w:trPr>
        <w:tc>
          <w:tcPr>
            <w:tcW w:w="6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Equity AFUDC capitalized in regulated operations plant</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c>
          <w:tcPr>
            <w:tcW w:w="0" w:type="dxa"/>
            <w:vAlign w:val="bottom"/>
          </w:tcPr>
          <w:p>
            <w:pPr>
              <w:spacing w:after="0"/>
              <w:rPr>
                <w:sz w:val="1"/>
                <w:szCs w:val="1"/>
                <w:color w:val="auto"/>
              </w:rPr>
            </w:pPr>
          </w:p>
        </w:tc>
      </w:tr>
      <w:tr>
        <w:trPr>
          <w:trHeight w:val="83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9"/>
          </w:tcPr>
          <w:p>
            <w:pPr>
              <w:jc w:val="center"/>
              <w:ind w:left="19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9"/>
          </w:tcPr>
          <w:p>
            <w:pPr>
              <w:jc w:val="center"/>
              <w:ind w:left="17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80" w:type="dxa"/>
            <w:vAlign w:val="bottom"/>
            <w:gridSpan w:val="3"/>
          </w:tcPr>
          <w:p>
            <w:pPr>
              <w:jc w:val="center"/>
              <w:ind w:left="34"/>
              <w:spacing w:after="0"/>
              <w:rPr>
                <w:sz w:val="20"/>
                <w:szCs w:val="20"/>
                <w:color w:val="auto"/>
              </w:rPr>
            </w:pPr>
            <w:r>
              <w:rPr>
                <w:rFonts w:ascii="Times New Roman" w:cs="Times New Roman" w:eastAsia="Times New Roman" w:hAnsi="Times New Roman"/>
                <w:sz w:val="18"/>
                <w:szCs w:val="18"/>
                <w:color w:val="auto"/>
              </w:rPr>
              <w:t>(Unaudited)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Common stock 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auto"/>
              </w:rPr>
              <w:t>Number of</w:t>
            </w:r>
          </w:p>
        </w:tc>
        <w:tc>
          <w:tcPr>
            <w:tcW w:w="180" w:type="dxa"/>
            <w:vAlign w:val="bottom"/>
          </w:tcPr>
          <w:p>
            <w:pPr>
              <w:spacing w:after="0"/>
              <w:rPr>
                <w:sz w:val="15"/>
                <w:szCs w:val="15"/>
                <w:color w:val="auto"/>
              </w:rPr>
            </w:pPr>
          </w:p>
        </w:tc>
        <w:tc>
          <w:tcPr>
            <w:tcW w:w="7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auto"/>
              </w:rPr>
              <w:t>Stated</w:t>
            </w:r>
          </w:p>
        </w:tc>
        <w:tc>
          <w:tcPr>
            <w:tcW w:w="120" w:type="dxa"/>
            <w:vAlign w:val="bottom"/>
          </w:tcPr>
          <w:p>
            <w:pPr>
              <w:spacing w:after="0"/>
              <w:rPr>
                <w:sz w:val="15"/>
                <w:szCs w:val="15"/>
                <w:color w:val="auto"/>
              </w:rPr>
            </w:pPr>
          </w:p>
        </w:tc>
        <w:tc>
          <w:tcPr>
            <w:tcW w:w="104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7"/>
                <w:szCs w:val="17"/>
                <w:color w:val="auto"/>
              </w:rPr>
              <w:t>Additional</w:t>
            </w:r>
          </w:p>
        </w:tc>
        <w:tc>
          <w:tcPr>
            <w:tcW w:w="160" w:type="dxa"/>
            <w:vAlign w:val="bottom"/>
          </w:tcPr>
          <w:p>
            <w:pPr>
              <w:spacing w:after="0"/>
              <w:rPr>
                <w:sz w:val="15"/>
                <w:szCs w:val="15"/>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AOCI</w:t>
            </w:r>
          </w:p>
        </w:tc>
        <w:tc>
          <w:tcPr>
            <w:tcW w:w="160" w:type="dxa"/>
            <w:vAlign w:val="bottom"/>
          </w:tcPr>
          <w:p>
            <w:pPr>
              <w:spacing w:after="0"/>
              <w:rPr>
                <w:sz w:val="15"/>
                <w:szCs w:val="15"/>
                <w:color w:val="auto"/>
              </w:rPr>
            </w:pPr>
          </w:p>
        </w:tc>
        <w:tc>
          <w:tcPr>
            <w:tcW w:w="100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7"/>
                <w:szCs w:val="17"/>
                <w:color w:val="auto"/>
              </w:rPr>
              <w:t>Retained</w:t>
            </w:r>
          </w:p>
        </w:tc>
        <w:tc>
          <w:tcPr>
            <w:tcW w:w="100" w:type="dxa"/>
            <w:vAlign w:val="bottom"/>
          </w:tcPr>
          <w:p>
            <w:pPr>
              <w:spacing w:after="0"/>
              <w:rPr>
                <w:sz w:val="15"/>
                <w:szCs w:val="15"/>
                <w:color w:val="auto"/>
              </w:rPr>
            </w:pPr>
          </w:p>
        </w:tc>
        <w:tc>
          <w:tcPr>
            <w:tcW w:w="96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8"/>
              </w:rPr>
              <w:t>Total Equity</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Shares</w:t>
            </w:r>
          </w:p>
        </w:tc>
        <w:tc>
          <w:tcPr>
            <w:tcW w:w="18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Value</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Paid-in Capital</w:t>
            </w: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Earnings</w:t>
            </w: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2025</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49,112</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2,195,489</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(34,546)</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1,314,911</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3,524,966</w:t>
            </w:r>
          </w:p>
        </w:tc>
        <w:tc>
          <w:tcPr>
            <w:tcW w:w="0" w:type="dxa"/>
            <w:vAlign w:val="bottom"/>
          </w:tcPr>
          <w:p>
            <w:pPr>
              <w:spacing w:after="0"/>
              <w:rPr>
                <w:sz w:val="1"/>
                <w:szCs w:val="1"/>
                <w:color w:val="auto"/>
              </w:rPr>
            </w:pPr>
          </w:p>
        </w:tc>
      </w:tr>
      <w:tr>
        <w:trPr>
          <w:trHeight w:val="235"/>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137,771</w:t>
            </w:r>
          </w:p>
        </w:tc>
        <w:tc>
          <w:tcPr>
            <w:tcW w:w="0" w:type="dxa"/>
            <w:vAlign w:val="bottom"/>
          </w:tcPr>
          <w:p>
            <w:pPr>
              <w:spacing w:after="0"/>
              <w:rPr>
                <w:sz w:val="1"/>
                <w:szCs w:val="1"/>
                <w:color w:val="auto"/>
              </w:rPr>
            </w:pPr>
          </w:p>
        </w:tc>
      </w:tr>
      <w:tr>
        <w:trPr>
          <w:trHeight w:val="251"/>
        </w:trPr>
        <w:tc>
          <w:tcPr>
            <w:tcW w:w="5020" w:type="dxa"/>
            <w:vAlign w:val="bottom"/>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color w:val="auto"/>
              </w:rPr>
              <w:t xml:space="preserve">Share-based compensation </w:t>
            </w:r>
            <w:r>
              <w:rPr>
                <w:rFonts w:ascii="Times New Roman" w:cs="Times New Roman" w:eastAsia="Times New Roman" w:hAnsi="Times New Roman"/>
                <w:sz w:val="22"/>
                <w:szCs w:val="22"/>
                <w:color w:val="auto"/>
                <w:vertAlign w:val="superscript"/>
              </w:rPr>
              <w:t>(1)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0" w:type="dxa"/>
            <w:vAlign w:val="bottom"/>
          </w:tcPr>
          <w:p>
            <w:pPr>
              <w:spacing w:after="0"/>
              <w:rPr>
                <w:sz w:val="1"/>
                <w:szCs w:val="1"/>
                <w:color w:val="auto"/>
              </w:rPr>
            </w:pPr>
          </w:p>
        </w:tc>
      </w:tr>
      <w:tr>
        <w:trPr>
          <w:trHeight w:val="181"/>
        </w:trPr>
        <w:tc>
          <w:tcPr>
            <w:tcW w:w="502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7"/>
                <w:szCs w:val="17"/>
                <w:color w:val="auto"/>
              </w:rPr>
              <w:t>Net actuarial gain arising during period, less amortization of</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23"/>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unamortized benefit plan cost, net of tax</w:t>
            </w:r>
          </w:p>
        </w:tc>
        <w:tc>
          <w:tcPr>
            <w:tcW w:w="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2026</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49,112</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2,195,556</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(34,100)</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1,451,880</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3,662,448</w:t>
            </w:r>
          </w:p>
        </w:tc>
        <w:tc>
          <w:tcPr>
            <w:tcW w:w="0" w:type="dxa"/>
            <w:vAlign w:val="bottom"/>
          </w:tcPr>
          <w:p>
            <w:pPr>
              <w:spacing w:after="0"/>
              <w:rPr>
                <w:sz w:val="1"/>
                <w:szCs w:val="1"/>
                <w:color w:val="auto"/>
              </w:rPr>
            </w:pPr>
          </w:p>
        </w:tc>
      </w:tr>
      <w:tr>
        <w:trPr>
          <w:trHeight w:val="235"/>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40,757</w:t>
            </w:r>
          </w:p>
        </w:tc>
        <w:tc>
          <w:tcPr>
            <w:tcW w:w="0" w:type="dxa"/>
            <w:vAlign w:val="bottom"/>
          </w:tcPr>
          <w:p>
            <w:pPr>
              <w:spacing w:after="0"/>
              <w:rPr>
                <w:sz w:val="1"/>
                <w:szCs w:val="1"/>
                <w:color w:val="auto"/>
              </w:rPr>
            </w:pPr>
          </w:p>
        </w:tc>
      </w:tr>
      <w:tr>
        <w:trPr>
          <w:trHeight w:val="251"/>
        </w:trPr>
        <w:tc>
          <w:tcPr>
            <w:tcW w:w="5020" w:type="dxa"/>
            <w:vAlign w:val="bottom"/>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color w:val="auto"/>
              </w:rPr>
              <w:t xml:space="preserve">Share-based compensation </w:t>
            </w:r>
            <w:r>
              <w:rPr>
                <w:rFonts w:ascii="Times New Roman" w:cs="Times New Roman" w:eastAsia="Times New Roman" w:hAnsi="Times New Roman"/>
                <w:sz w:val="22"/>
                <w:szCs w:val="22"/>
                <w:color w:val="auto"/>
                <w:vertAlign w:val="superscript"/>
              </w:rPr>
              <w:t>(1)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0" w:type="dxa"/>
            <w:vAlign w:val="bottom"/>
          </w:tcPr>
          <w:p>
            <w:pPr>
              <w:spacing w:after="0"/>
              <w:rPr>
                <w:sz w:val="1"/>
                <w:szCs w:val="1"/>
                <w:color w:val="auto"/>
              </w:rPr>
            </w:pPr>
          </w:p>
        </w:tc>
      </w:tr>
      <w:tr>
        <w:trPr>
          <w:trHeight w:val="235"/>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Contributions from Southwest Gas Holdings, Inc.</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0" w:type="dxa"/>
            <w:vAlign w:val="bottom"/>
          </w:tcPr>
          <w:p>
            <w:pPr>
              <w:spacing w:after="0"/>
              <w:rPr>
                <w:sz w:val="1"/>
                <w:szCs w:val="1"/>
                <w:color w:val="auto"/>
              </w:rPr>
            </w:pPr>
          </w:p>
        </w:tc>
      </w:tr>
      <w:tr>
        <w:trPr>
          <w:trHeight w:val="188"/>
        </w:trPr>
        <w:tc>
          <w:tcPr>
            <w:tcW w:w="502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Net actuarial gain arising during period, less amortization of</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24,169</w:t>
            </w:r>
          </w:p>
        </w:tc>
        <w:tc>
          <w:tcPr>
            <w:tcW w:w="0" w:type="dxa"/>
            <w:vAlign w:val="bottom"/>
          </w:tcPr>
          <w:p>
            <w:pPr>
              <w:spacing w:after="0"/>
              <w:rPr>
                <w:sz w:val="1"/>
                <w:szCs w:val="1"/>
                <w:color w:val="auto"/>
              </w:rPr>
            </w:pPr>
          </w:p>
        </w:tc>
      </w:tr>
      <w:tr>
        <w:trPr>
          <w:trHeight w:val="224"/>
        </w:trPr>
        <w:tc>
          <w:tcPr>
            <w:tcW w:w="5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benefit plan cost, net of tax and regulatory adjustment</w:t>
            </w:r>
          </w:p>
        </w:tc>
        <w:tc>
          <w:tcPr>
            <w:tcW w:w="9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Balance, June 30, 2026</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47,482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49,112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2,317,144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1,492,562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3,848,887</w:t>
            </w:r>
          </w:p>
        </w:tc>
        <w:tc>
          <w:tcPr>
            <w:tcW w:w="0" w:type="dxa"/>
            <w:vAlign w:val="bottom"/>
          </w:tcPr>
          <w:p>
            <w:pPr>
              <w:spacing w:after="0"/>
              <w:rPr>
                <w:sz w:val="1"/>
                <w:szCs w:val="1"/>
                <w:color w:val="auto"/>
              </w:rPr>
            </w:pPr>
          </w:p>
        </w:tc>
      </w:tr>
      <w:tr>
        <w:trPr>
          <w:trHeight w:val="251"/>
        </w:trPr>
        <w:tc>
          <w:tcPr>
            <w:tcW w:w="5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13,254</w:t>
            </w:r>
          </w:p>
        </w:tc>
        <w:tc>
          <w:tcPr>
            <w:tcW w:w="0" w:type="dxa"/>
            <w:vAlign w:val="bottom"/>
          </w:tcPr>
          <w:p>
            <w:pPr>
              <w:spacing w:after="0"/>
              <w:rPr>
                <w:sz w:val="1"/>
                <w:szCs w:val="1"/>
                <w:color w:val="auto"/>
              </w:rPr>
            </w:pPr>
          </w:p>
        </w:tc>
      </w:tr>
      <w:tr>
        <w:trPr>
          <w:trHeight w:val="243"/>
        </w:trPr>
        <w:tc>
          <w:tcPr>
            <w:tcW w:w="502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7"/>
                <w:szCs w:val="17"/>
                <w:color w:val="auto"/>
              </w:rPr>
              <w:t xml:space="preserve">Share-based compensation </w:t>
            </w:r>
            <w:r>
              <w:rPr>
                <w:rFonts w:ascii="Times New Roman" w:cs="Times New Roman" w:eastAsia="Times New Roman" w:hAnsi="Times New Roman"/>
                <w:sz w:val="22"/>
                <w:szCs w:val="22"/>
                <w:color w:val="auto"/>
                <w:vertAlign w:val="superscript"/>
              </w:rPr>
              <w:t>(1)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8,310</w:t>
            </w:r>
          </w:p>
        </w:tc>
        <w:tc>
          <w:tcPr>
            <w:tcW w:w="0" w:type="dxa"/>
            <w:vAlign w:val="bottom"/>
          </w:tcPr>
          <w:p>
            <w:pPr>
              <w:spacing w:after="0"/>
              <w:rPr>
                <w:sz w:val="1"/>
                <w:szCs w:val="1"/>
                <w:color w:val="auto"/>
              </w:rPr>
            </w:pPr>
          </w:p>
        </w:tc>
      </w:tr>
      <w:tr>
        <w:trPr>
          <w:trHeight w:val="243"/>
        </w:trPr>
        <w:tc>
          <w:tcPr>
            <w:tcW w:w="5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Contributions from Southwest Gas Holdings, Inc.</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w:t>
            </w:r>
          </w:p>
        </w:tc>
        <w:tc>
          <w:tcPr>
            <w:tcW w:w="0" w:type="dxa"/>
            <w:vAlign w:val="bottom"/>
          </w:tcPr>
          <w:p>
            <w:pPr>
              <w:spacing w:after="0"/>
              <w:rPr>
                <w:sz w:val="1"/>
                <w:szCs w:val="1"/>
                <w:color w:val="auto"/>
              </w:rPr>
            </w:pPr>
          </w:p>
        </w:tc>
      </w:tr>
      <w:tr>
        <w:trPr>
          <w:trHeight w:val="181"/>
        </w:trPr>
        <w:tc>
          <w:tcPr>
            <w:tcW w:w="502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7"/>
                <w:szCs w:val="17"/>
                <w:color w:val="auto"/>
              </w:rPr>
              <w:t>Net actuarial gain arising during period, less amortization of</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24"/>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unamortized benefit plan cost, net of tax</w:t>
            </w:r>
          </w:p>
        </w:tc>
        <w:tc>
          <w:tcPr>
            <w:tcW w:w="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0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September 30, 2026</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2,485,520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1,505,750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4,030,322</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Common stock 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auto"/>
              </w:rPr>
              <w:t>Number of</w:t>
            </w:r>
          </w:p>
        </w:tc>
        <w:tc>
          <w:tcPr>
            <w:tcW w:w="180" w:type="dxa"/>
            <w:vAlign w:val="bottom"/>
          </w:tcPr>
          <w:p>
            <w:pPr>
              <w:spacing w:after="0"/>
              <w:rPr>
                <w:sz w:val="15"/>
                <w:szCs w:val="15"/>
                <w:color w:val="auto"/>
              </w:rPr>
            </w:pPr>
          </w:p>
        </w:tc>
        <w:tc>
          <w:tcPr>
            <w:tcW w:w="7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auto"/>
              </w:rPr>
              <w:t>Stated</w:t>
            </w:r>
          </w:p>
        </w:tc>
        <w:tc>
          <w:tcPr>
            <w:tcW w:w="120" w:type="dxa"/>
            <w:vAlign w:val="bottom"/>
          </w:tcPr>
          <w:p>
            <w:pPr>
              <w:spacing w:after="0"/>
              <w:rPr>
                <w:sz w:val="15"/>
                <w:szCs w:val="15"/>
                <w:color w:val="auto"/>
              </w:rPr>
            </w:pPr>
          </w:p>
        </w:tc>
        <w:tc>
          <w:tcPr>
            <w:tcW w:w="104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7"/>
                <w:szCs w:val="17"/>
                <w:color w:val="auto"/>
              </w:rPr>
              <w:t>Additional</w:t>
            </w:r>
          </w:p>
        </w:tc>
        <w:tc>
          <w:tcPr>
            <w:tcW w:w="160" w:type="dxa"/>
            <w:vAlign w:val="bottom"/>
          </w:tcPr>
          <w:p>
            <w:pPr>
              <w:spacing w:after="0"/>
              <w:rPr>
                <w:sz w:val="15"/>
                <w:szCs w:val="15"/>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AOCI</w:t>
            </w:r>
          </w:p>
        </w:tc>
        <w:tc>
          <w:tcPr>
            <w:tcW w:w="160" w:type="dxa"/>
            <w:vAlign w:val="bottom"/>
          </w:tcPr>
          <w:p>
            <w:pPr>
              <w:spacing w:after="0"/>
              <w:rPr>
                <w:sz w:val="15"/>
                <w:szCs w:val="15"/>
                <w:color w:val="auto"/>
              </w:rPr>
            </w:pPr>
          </w:p>
        </w:tc>
        <w:tc>
          <w:tcPr>
            <w:tcW w:w="100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7"/>
                <w:szCs w:val="17"/>
                <w:color w:val="auto"/>
              </w:rPr>
              <w:t>Retained</w:t>
            </w:r>
          </w:p>
        </w:tc>
        <w:tc>
          <w:tcPr>
            <w:tcW w:w="100" w:type="dxa"/>
            <w:vAlign w:val="bottom"/>
          </w:tcPr>
          <w:p>
            <w:pPr>
              <w:spacing w:after="0"/>
              <w:rPr>
                <w:sz w:val="15"/>
                <w:szCs w:val="15"/>
                <w:color w:val="auto"/>
              </w:rPr>
            </w:pPr>
          </w:p>
        </w:tc>
        <w:tc>
          <w:tcPr>
            <w:tcW w:w="96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8"/>
              </w:rPr>
              <w:t>Total Equity</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Shares</w:t>
            </w:r>
          </w:p>
        </w:tc>
        <w:tc>
          <w:tcPr>
            <w:tcW w:w="18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Value</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Paid-in Capital</w:t>
            </w: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Earnings</w:t>
            </w: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49,112</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2,165,002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(38,401)</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1,059,773</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3,235,486</w:t>
            </w:r>
          </w:p>
        </w:tc>
        <w:tc>
          <w:tcPr>
            <w:tcW w:w="0" w:type="dxa"/>
            <w:vAlign w:val="bottom"/>
          </w:tcPr>
          <w:p>
            <w:pPr>
              <w:spacing w:after="0"/>
              <w:rPr>
                <w:sz w:val="1"/>
                <w:szCs w:val="1"/>
                <w:color w:val="auto"/>
              </w:rPr>
            </w:pPr>
          </w:p>
        </w:tc>
      </w:tr>
      <w:tr>
        <w:trPr>
          <w:trHeight w:val="235"/>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142,595</w:t>
            </w:r>
          </w:p>
        </w:tc>
        <w:tc>
          <w:tcPr>
            <w:tcW w:w="0" w:type="dxa"/>
            <w:vAlign w:val="bottom"/>
          </w:tcPr>
          <w:p>
            <w:pPr>
              <w:spacing w:after="0"/>
              <w:rPr>
                <w:sz w:val="1"/>
                <w:szCs w:val="1"/>
                <w:color w:val="auto"/>
              </w:rPr>
            </w:pPr>
          </w:p>
        </w:tc>
      </w:tr>
      <w:tr>
        <w:trPr>
          <w:trHeight w:val="251"/>
        </w:trPr>
        <w:tc>
          <w:tcPr>
            <w:tcW w:w="5020" w:type="dxa"/>
            <w:vAlign w:val="bottom"/>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color w:val="auto"/>
              </w:rPr>
              <w:t xml:space="preserve">Share-based compensation </w:t>
            </w:r>
            <w:r>
              <w:rPr>
                <w:rFonts w:ascii="Times New Roman" w:cs="Times New Roman" w:eastAsia="Times New Roman" w:hAnsi="Times New Roman"/>
                <w:sz w:val="22"/>
                <w:szCs w:val="22"/>
                <w:color w:val="auto"/>
                <w:vertAlign w:val="superscript"/>
              </w:rPr>
              <w:t>(1)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0" w:type="dxa"/>
            <w:vAlign w:val="bottom"/>
          </w:tcPr>
          <w:p>
            <w:pPr>
              <w:spacing w:after="0"/>
              <w:rPr>
                <w:sz w:val="1"/>
                <w:szCs w:val="1"/>
                <w:color w:val="auto"/>
              </w:rPr>
            </w:pPr>
          </w:p>
        </w:tc>
      </w:tr>
      <w:tr>
        <w:trPr>
          <w:trHeight w:val="181"/>
        </w:trPr>
        <w:tc>
          <w:tcPr>
            <w:tcW w:w="502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7"/>
                <w:szCs w:val="17"/>
                <w:color w:val="auto"/>
              </w:rPr>
              <w:t>Net actuarial gain arising during period, less amortization of</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23"/>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unamortized benefit plan cost, net of tax</w:t>
            </w:r>
          </w:p>
        </w:tc>
        <w:tc>
          <w:tcPr>
            <w:tcW w:w="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2025</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49,112</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2,167,118</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(38,133)</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1,202,052</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3,380,149</w:t>
            </w:r>
          </w:p>
        </w:tc>
        <w:tc>
          <w:tcPr>
            <w:tcW w:w="0" w:type="dxa"/>
            <w:vAlign w:val="bottom"/>
          </w:tcPr>
          <w:p>
            <w:pPr>
              <w:spacing w:after="0"/>
              <w:rPr>
                <w:sz w:val="1"/>
                <w:szCs w:val="1"/>
                <w:color w:val="auto"/>
              </w:rPr>
            </w:pPr>
          </w:p>
        </w:tc>
      </w:tr>
      <w:tr>
        <w:trPr>
          <w:trHeight w:val="235"/>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45,646</w:t>
            </w:r>
          </w:p>
        </w:tc>
        <w:tc>
          <w:tcPr>
            <w:tcW w:w="0" w:type="dxa"/>
            <w:vAlign w:val="bottom"/>
          </w:tcPr>
          <w:p>
            <w:pPr>
              <w:spacing w:after="0"/>
              <w:rPr>
                <w:sz w:val="1"/>
                <w:szCs w:val="1"/>
                <w:color w:val="auto"/>
              </w:rPr>
            </w:pPr>
          </w:p>
        </w:tc>
      </w:tr>
      <w:tr>
        <w:trPr>
          <w:trHeight w:val="251"/>
        </w:trPr>
        <w:tc>
          <w:tcPr>
            <w:tcW w:w="5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to Southwest Gas Holdings, Inc.</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(44,609)</w:t>
            </w:r>
          </w:p>
        </w:tc>
        <w:tc>
          <w:tcPr>
            <w:tcW w:w="0" w:type="dxa"/>
            <w:vAlign w:val="bottom"/>
          </w:tcPr>
          <w:p>
            <w:pPr>
              <w:spacing w:after="0"/>
              <w:rPr>
                <w:sz w:val="1"/>
                <w:szCs w:val="1"/>
                <w:color w:val="auto"/>
              </w:rPr>
            </w:pPr>
          </w:p>
        </w:tc>
      </w:tr>
      <w:tr>
        <w:trPr>
          <w:trHeight w:val="243"/>
        </w:trPr>
        <w:tc>
          <w:tcPr>
            <w:tcW w:w="502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7"/>
                <w:szCs w:val="17"/>
                <w:color w:val="auto"/>
              </w:rPr>
              <w:t xml:space="preserve">Share-based compensation </w:t>
            </w:r>
            <w:r>
              <w:rPr>
                <w:rFonts w:ascii="Times New Roman" w:cs="Times New Roman" w:eastAsia="Times New Roman" w:hAnsi="Times New Roman"/>
                <w:sz w:val="22"/>
                <w:szCs w:val="22"/>
                <w:color w:val="auto"/>
                <w:vertAlign w:val="superscript"/>
              </w:rPr>
              <w:t>(1)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w:t>
            </w:r>
          </w:p>
        </w:tc>
        <w:tc>
          <w:tcPr>
            <w:tcW w:w="0" w:type="dxa"/>
            <w:vAlign w:val="bottom"/>
          </w:tcPr>
          <w:p>
            <w:pPr>
              <w:spacing w:after="0"/>
              <w:rPr>
                <w:sz w:val="1"/>
                <w:szCs w:val="1"/>
                <w:color w:val="auto"/>
              </w:rPr>
            </w:pPr>
          </w:p>
        </w:tc>
      </w:tr>
      <w:tr>
        <w:trPr>
          <w:trHeight w:val="181"/>
        </w:trPr>
        <w:tc>
          <w:tcPr>
            <w:tcW w:w="5020" w:type="dxa"/>
            <w:vAlign w:val="bottom"/>
            <w:gridSpan w:val="4"/>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Net actuarial gain arising during period, less amortization of</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24"/>
        </w:trPr>
        <w:tc>
          <w:tcPr>
            <w:tcW w:w="5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benefit plan cost, net of tax</w:t>
            </w:r>
          </w:p>
        </w:tc>
        <w:tc>
          <w:tcPr>
            <w:tcW w:w="9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Balance, June 30, 2025</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47,482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49,112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2,169,367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(37,866)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1,203,006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3,383,619</w:t>
            </w:r>
          </w:p>
        </w:tc>
        <w:tc>
          <w:tcPr>
            <w:tcW w:w="0" w:type="dxa"/>
            <w:vAlign w:val="bottom"/>
          </w:tcPr>
          <w:p>
            <w:pPr>
              <w:spacing w:after="0"/>
              <w:rPr>
                <w:sz w:val="1"/>
                <w:szCs w:val="1"/>
                <w:color w:val="auto"/>
              </w:rPr>
            </w:pPr>
          </w:p>
        </w:tc>
      </w:tr>
      <w:tr>
        <w:trPr>
          <w:trHeight w:val="251"/>
        </w:trPr>
        <w:tc>
          <w:tcPr>
            <w:tcW w:w="5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6,343</w:t>
            </w:r>
          </w:p>
        </w:tc>
        <w:tc>
          <w:tcPr>
            <w:tcW w:w="0" w:type="dxa"/>
            <w:vAlign w:val="bottom"/>
          </w:tcPr>
          <w:p>
            <w:pPr>
              <w:spacing w:after="0"/>
              <w:rPr>
                <w:sz w:val="1"/>
                <w:szCs w:val="1"/>
                <w:color w:val="auto"/>
              </w:rPr>
            </w:pPr>
          </w:p>
        </w:tc>
      </w:tr>
      <w:tr>
        <w:trPr>
          <w:trHeight w:val="243"/>
        </w:trPr>
        <w:tc>
          <w:tcPr>
            <w:tcW w:w="502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7"/>
                <w:szCs w:val="17"/>
                <w:color w:val="auto"/>
              </w:rPr>
              <w:t xml:space="preserve">Share-based compensation </w:t>
            </w:r>
            <w:r>
              <w:rPr>
                <w:rFonts w:ascii="Times New Roman" w:cs="Times New Roman" w:eastAsia="Times New Roman" w:hAnsi="Times New Roman"/>
                <w:sz w:val="22"/>
                <w:szCs w:val="22"/>
                <w:color w:val="auto"/>
                <w:vertAlign w:val="superscript"/>
              </w:rPr>
              <w:t>(1)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2,301</w:t>
            </w:r>
          </w:p>
        </w:tc>
        <w:tc>
          <w:tcPr>
            <w:tcW w:w="0" w:type="dxa"/>
            <w:vAlign w:val="bottom"/>
          </w:tcPr>
          <w:p>
            <w:pPr>
              <w:spacing w:after="0"/>
              <w:rPr>
                <w:sz w:val="1"/>
                <w:szCs w:val="1"/>
                <w:color w:val="auto"/>
              </w:rPr>
            </w:pPr>
          </w:p>
        </w:tc>
      </w:tr>
      <w:tr>
        <w:trPr>
          <w:trHeight w:val="181"/>
        </w:trPr>
        <w:tc>
          <w:tcPr>
            <w:tcW w:w="5020" w:type="dxa"/>
            <w:vAlign w:val="bottom"/>
            <w:gridSpan w:val="4"/>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Net actuarial gain arising during period, less amortization of</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23"/>
        </w:trPr>
        <w:tc>
          <w:tcPr>
            <w:tcW w:w="5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benefit plan cost, net of tax</w:t>
            </w:r>
          </w:p>
        </w:tc>
        <w:tc>
          <w:tcPr>
            <w:tcW w:w="9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Balance, September 30, 2025</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47,482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49,112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2,171,752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(37,597)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1,209,265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3,392,532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Relates to capital contributions from Southwest Gas Holdings, Inc. associated with share-based compensation awards granted to Southwest Gas employees.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Organization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The Company, a Delaware corporation, is a holding company whose primary business consists of its ownership of Southwest Gas,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corporation and regulated natural gas distribution utility. The Company’s common stock trades under the ticker symbol “SWX.” Until the deconsolidation of Centuri in August 2025, the Company’s businesses were managed through two separate reportable segments: Natural Gas Distribution (Southwest Gas) and Utility Infrastructure Services (Centuri). Following the deconsolidation of Centuri, the Company’s business consists solely of its ownership and investment in Southwest Gas.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Gas is engaged in the business of purchasing, distributing, and transporting natural gas for customers in portions of Arizona, Nevada, and California. Public utility rates, practices, facilities, and service territories of Southwest Gas are subject to regulatory oversight. The timing and amount of rate relief can materially impact results of operations. Natural gas purchases and the timing of related recoveries can materially impact liquidity. While mechanisms currently exist in all states in which Southwest Gas operates, which decouple authorized operating cost recovery and profitability from the volume of natural gas sold, thereby also incentivizing energy conservation, results for the Natural Gas Distribution segment are higher during winter periods due to the seasonality incorporated in its regulatory rate structures.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of the Company and Southwest Gas included herein have been prepared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rules and regulations of the SEC. The year-end 2025 consolidated balance sheet data was derived from audited financial statements. Certain information and footnote disclosures normally included in financial statements prepared in accordance with U.S. GAAP have been condensed or omitted pursuant to such rules and regulations.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as well as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On August 11, 2025, the Company completed a secondary public offering and a concurrent private placement transaction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Icahn investment entities. These transactions resulted in the sale of a combined total of 18,823,500 shares of Centuri common stock previously held by the Company. Following the completion of these transactions, the Company no longer maintained a controlling financial interest in Centuri. Accordingly, Centuri’s assets, liabilities, and results of operations are no longer included in the Company’s condensed consolidated financial statements.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sale of Centuri, which comprised the Company’s Utility Infrastructure Services segment, represented a strategic shift that had a significant impact on the Company’s operations and financial results. Therefore, Centuri met the criteria to be reported as discontinued operations in accordance with U.S. GAAP. The results of discontinued operations are aggregated and presented separately in the Condensed Consolidated Statements of Income and Condensed Consolidated Statements of Cash Flows for all periods presented. Unless otherwise noted, the financial disclosures and related information provided herein relate to our continuing operations, which exclude our former Utility Infrastructure Services segment, and prior period amounts have been recast to reflect discontinued operations.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The Company’s and Southwest Gas’ CEO and President has been identified as the CODM for each company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CODM reviews the Company’s income (loss) from continuing operations and Southwest Gas’ net income (loss) as reported on their respective condensed consolidated statements of income in assessing performance and allocating resources. The CODM considers budget-to-actual variances against these metrics when making decisions about allocating capital and personnel. The CODM also uses income (loss) from continuing operations and net income (loss) to assess the return on assets, margin earned, and in assessing the compensation of certain employees.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Because both the Company and Southwest Gas operate as a single reportable segment, the related disclosure information is presented in the applicable sections. The other significant amounts required for disclosure are included within income (loss) from continuing operations and net income (loss). Revenues from external customers are reported as “Revenues from contracts with customers” in </w:t>
      </w:r>
      <w:r>
        <w:rPr>
          <w:rFonts w:ascii="Times New Roman" w:cs="Times New Roman" w:eastAsia="Times New Roman" w:hAnsi="Times New Roman"/>
          <w:sz w:val="18"/>
          <w:szCs w:val="18"/>
          <w:b w:val="1"/>
          <w:bCs w:val="1"/>
          <w:color w:val="auto"/>
        </w:rPr>
        <w:t>Note 3 – Revenues</w:t>
      </w:r>
      <w:r>
        <w:rPr>
          <w:rFonts w:ascii="Times New Roman" w:cs="Times New Roman" w:eastAsia="Times New Roman" w:hAnsi="Times New Roman"/>
          <w:sz w:val="18"/>
          <w:szCs w:val="18"/>
          <w:color w:val="auto"/>
        </w:rPr>
        <w:t xml:space="preserve"> for the three and nine months ended September 30, 2026 and September 30, 2025. Capital expenditures for the three months ended September 30, 2026 and September 30, 2025 were $271.8 million and $207.9 million, respectively, and for the nine months ended September 30, 2026 and September 30, 2025 were $800.9 million and $570.4 million, respectively. The measures of assets for the Company and Southwest Gas are reported as “Total assets” on their respective Condensed Consolidated Balance Sheets.</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of Southwest Gas and the Company included in our 2025 Annual Report on Form 10-K for the fiscal year ended December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 Gas’ and the Company’s Condensed Consolidated Balance Sheets include: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7"/>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174,150</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165,551</w:t>
            </w:r>
          </w:p>
        </w:tc>
      </w:tr>
      <w:tr>
        <w:trPr>
          <w:trHeight w:val="24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37"/>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169,947</w:t>
            </w:r>
          </w:p>
        </w:tc>
      </w:tr>
      <w:tr>
        <w:trPr>
          <w:trHeight w:val="24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r>
      <w:tr>
        <w:trPr>
          <w:trHeight w:val="261"/>
        </w:trPr>
        <w:tc>
          <w:tcPr>
            <w:tcW w:w="7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Materials, supplies, and gas inventories. </w:t>
      </w:r>
      <w:r>
        <w:rPr>
          <w:rFonts w:ascii="Times New Roman" w:cs="Times New Roman" w:eastAsia="Times New Roman" w:hAnsi="Times New Roman"/>
          <w:sz w:val="18"/>
          <w:szCs w:val="18"/>
          <w:color w:val="auto"/>
        </w:rPr>
        <w:t>Materials, supplies, and gas inventories for Southwest Gas and the Company include gas pipe materials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supplies of $77.2 million and $78.1 million as of September 30, 2026 and December 31, 2025, respectively (carried at weighted average cost).</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Prepaid and other current assets. </w:t>
      </w:r>
      <w:r>
        <w:rPr>
          <w:rFonts w:ascii="Times New Roman" w:cs="Times New Roman" w:eastAsia="Times New Roman" w:hAnsi="Times New Roman"/>
          <w:sz w:val="18"/>
          <w:szCs w:val="18"/>
          <w:color w:val="auto"/>
        </w:rPr>
        <w:t>Prepaid and other current assets for the Company and Southwest Gas include, among other things, $147.5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$91.1 million related to a regulatory asset associated with the Arizona decoupling mechanism as of September 30, 2026 and December 31, 2025, respectively, and a regulatory asset associated with the Nevada decoupling mechanism of $68.8 million and $39.0 million as of September 30, 2026 and December 31, 2025, respectively.</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Regulatory Operations </w:t>
      </w:r>
      <w:r>
        <w:rPr>
          <w:rFonts w:ascii="Times New Roman" w:cs="Times New Roman" w:eastAsia="Times New Roman" w:hAnsi="Times New Roman"/>
          <w:sz w:val="18"/>
          <w:szCs w:val="18"/>
          <w:color w:val="auto"/>
        </w:rPr>
        <w:t>- Following CPUC approval of the All-Party Settlement, customers began to see the impact of the rates on July 1, 2026, Southwest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recognized $20.2 million of operating revenue in the second quarter of 2026 related to the period effective from January 1, 2026 through June 30, 2026. In August 2026, the CPUC approved a 10.0% return on equity relative to a 50.0% equity layer in its final decision.</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14, 2026, Southwest Gas received a final order in its Nevada general rate case approving new rates effective October 1, 2026. The order is expected to result in approximately $47.8 million in additional annual revenues.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charges and other assets. </w:t>
      </w:r>
      <w:r>
        <w:rPr>
          <w:rFonts w:ascii="Times New Roman" w:cs="Times New Roman" w:eastAsia="Times New Roman" w:hAnsi="Times New Roman"/>
          <w:sz w:val="18"/>
          <w:szCs w:val="18"/>
          <w:color w:val="auto"/>
        </w:rPr>
        <w:t>Deferred charges and other assets for Southwest Gas and the Company include, among other things, cloud-based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of $45.8 million and $33.9 million as of September 30, 2026 and December 31, 2025, respectively, and a regulatory asset associated with pension of $263.5 million as of September 30, 2026 and of $246.4 million as of December 31, 2025, respectively.</w:t>
      </w:r>
    </w:p>
    <w:p>
      <w:pPr>
        <w:spacing w:after="0" w:line="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Accrued general taxes. </w:t>
      </w:r>
      <w:r>
        <w:rPr>
          <w:rFonts w:ascii="Times New Roman" w:cs="Times New Roman" w:eastAsia="Times New Roman" w:hAnsi="Times New Roman"/>
          <w:sz w:val="18"/>
          <w:szCs w:val="18"/>
          <w:color w:val="auto"/>
        </w:rPr>
        <w:t>Accrued general taxes for the Company and Southwest Gas include, among other things, $49.0 million and $27.1 million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taxes accrued as of September 30, 2026 and December 31, 2025, respectively.</w:t>
      </w: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in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Company’s Condensed Consolidated Statements of Income: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7"/>
                <w:szCs w:val="17"/>
                <w:color w:val="auto"/>
              </w:rPr>
            </w:pPr>
          </w:p>
        </w:tc>
        <w:tc>
          <w:tcPr>
            <w:tcW w:w="20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0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335"/>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652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Change in value of COLI policies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4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w:t>
            </w:r>
          </w:p>
        </w:tc>
      </w:tr>
      <w:tr>
        <w:trPr>
          <w:trHeight w:val="243"/>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4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components of net periodic benefit gain</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r>
      <w:tr>
        <w:trPr>
          <w:trHeight w:val="243"/>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3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 - total other income (deductions)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40,385</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43"/>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(loss) of unconsolidated investments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 total other income (deductions)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42,629</w:t>
            </w: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20" w:hanging="150"/>
        <w:spacing w:after="0"/>
        <w:tabs>
          <w:tab w:leader="none" w:pos="32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COLI policies are typically valued at net cash surrender value.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for Southwest Gas relates to interest income earned on money market investments and interest income earned on Southwest Gas’ regulatory asset balances, including the Arizona decoupling mechanism. Interest income is earned on regulatory asset balances and interest expense is incurred on regulatory liability balances. Interest income for Southwest Gas Holdings, Inc. relates to interest income earned on money market investments. Refer also to </w:t>
      </w:r>
      <w:r>
        <w:rPr>
          <w:rFonts w:ascii="Times New Roman" w:cs="Times New Roman" w:eastAsia="Times New Roman" w:hAnsi="Times New Roman"/>
          <w:sz w:val="18"/>
          <w:szCs w:val="18"/>
          <w:b w:val="1"/>
          <w:bCs w:val="1"/>
          <w:color w:val="auto"/>
        </w:rPr>
        <w:t>Note 5 – Components of Net Periodic Benefit Cost</w:t>
      </w:r>
      <w:r>
        <w:rPr>
          <w:rFonts w:ascii="Times New Roman" w:cs="Times New Roman" w:eastAsia="Times New Roman" w:hAnsi="Times New Roman"/>
          <w:sz w:val="18"/>
          <w:szCs w:val="18"/>
          <w:color w:val="auto"/>
        </w:rPr>
        <w:t xml:space="preserve"> for details regarding Other components of net periodic benefit cost.</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EPS. </w:t>
      </w:r>
      <w:r>
        <w:rPr>
          <w:rFonts w:ascii="Times New Roman" w:cs="Times New Roman" w:eastAsia="Times New Roman" w:hAnsi="Times New Roman"/>
          <w:sz w:val="18"/>
          <w:szCs w:val="18"/>
          <w:color w:val="auto"/>
        </w:rPr>
        <w:t>Basic EPS in each period of this report were calculated by dividing net income attributable to the Company by the weighted-average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those periods. Diluted EPS includes additional weighted-average common stock equivalents (performance stock units and restricted stock units). Unless otherwise noted, the term EPS refers to Basic EPS. A reconciliation of the denominator used in Basic and Diluted EPS calculations is shown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24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3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6520" w:type="dxa"/>
            <w:vAlign w:val="bottom"/>
          </w:tcPr>
          <w:p>
            <w:pPr>
              <w:spacing w:after="0"/>
              <w:rPr>
                <w:sz w:val="20"/>
                <w:szCs w:val="20"/>
                <w:color w:val="auto"/>
              </w:rPr>
            </w:pPr>
          </w:p>
        </w:tc>
        <w:tc>
          <w:tcPr>
            <w:tcW w:w="24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c>
          <w:tcPr>
            <w:tcW w:w="23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72,104</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652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Restricted stock units </w:t>
            </w:r>
            <w:r>
              <w:rPr>
                <w:rFonts w:ascii="Times New Roman" w:cs="Times New Roman" w:eastAsia="Times New Roman" w:hAnsi="Times New Roman"/>
                <w:sz w:val="23"/>
                <w:szCs w:val="23"/>
                <w:color w:val="auto"/>
                <w:vertAlign w:val="superscript"/>
              </w:rPr>
              <w:t>(1),(2)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72,823</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72,405</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72,686</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72,265</w:t>
            </w:r>
          </w:p>
        </w:tc>
      </w:tr>
      <w:tr>
        <w:trPr>
          <w:trHeight w:val="20"/>
        </w:trPr>
        <w:tc>
          <w:tcPr>
            <w:tcW w:w="6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180" w:hanging="10"/>
        <w:spacing w:after="0" w:line="237" w:lineRule="auto"/>
        <w:tabs>
          <w:tab w:leader="none" w:pos="372"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number of securities included 235,000 and 161,000 performance stock units during the three months ended September 30, 2026 and September 30, 2025, respectively. During the nine months ended September 30, 2026 and September 30, 2025, respectively, the number of securities included 159,000 and 136,000 performance stock units, the total of which was derived by assuming that target performance will be achieved during the relevant performance period.</w:t>
      </w:r>
    </w:p>
    <w:p>
      <w:pPr>
        <w:spacing w:after="0" w:line="100" w:lineRule="exact"/>
        <w:rPr>
          <w:rFonts w:ascii="Times New Roman" w:cs="Times New Roman" w:eastAsia="Times New Roman" w:hAnsi="Times New Roman"/>
          <w:sz w:val="21"/>
          <w:szCs w:val="21"/>
          <w:color w:val="auto"/>
          <w:vertAlign w:val="superscript"/>
        </w:rPr>
      </w:pPr>
    </w:p>
    <w:p>
      <w:pPr>
        <w:ind w:left="180" w:right="20" w:hanging="10"/>
        <w:spacing w:after="0" w:line="238" w:lineRule="auto"/>
        <w:tabs>
          <w:tab w:leader="none" w:pos="329"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number of anti-dilutive restricted stock units excluded from the calculation of diluted shares on continuing operations during the three months ended September 30, 2025 is 196,000.</w:t>
      </w:r>
    </w:p>
    <w:p>
      <w:pPr>
        <w:spacing w:after="0" w:line="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effective tax rate was (59.7)% for the three months ended September 30, 2026, compared to 208.8% for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2025. The lower effective tax rate was primarily due to a deferred state income tax expense recognized in the prior year’s quarter and a state income tax benefit recognized in the current year’s quarter related to a change in state apportionment rates. The Company’s effective tax rate was 20.8% for the nine months ended September 30, 2026, compared to 35.4% for the corresponding period in 2025, primarily due to a deferred state income tax expense recognized in the prior year’s period and deferred state income tax benefit recognized in the current year’s period related to a change in state apportionment rates. This was partially offset by lower amortization of excess deferred income taxes and higher nondeductible executive compensation in the current period when compared to the prior year’s period.</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effective tax rate was (54.5)% for the three months ended September 30, 2026, compared to (24.4)% for the corresponding period in 2025. The lower effective tax rate was primarily due to a lower deferred state income tax benefit recognized in the prior year’s quarter related to a change in state apportionment rates combined with higher amortization of excess deferred income taxes in the current year’s quarter. Southwest Gas’ effective tax rate was 19.8% for the nine months ended September 30, 2026, compared to 13.6% in the corresponding period in 2025 primarily due to a larger deferred state income tax benefit recognized in the prior year’s period related to a change in state apportionment rates. In addition, there were lower amortization of excess accumulated deferred income taxes and higher nondeductible executive compensation in the current period when compared to the prior year’s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that will be effective in 2026 and thereafter:</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update requires disclosure of disaggregated information about certain income statement expense line items in the notes to the financial statements. The update is effective for fiscal years beginning after December 15, 2026, and interim periods within fiscal years beginning after December 15, 2027; early adoption is permitted. The update should be applied prospectively; however, retrospective application is also permitted. Management expects the update to impact disclosures only and does not expect it to affect the Company’s and Southwest Gas’ financial position, results of operations, or cash flows.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update improves the operability of the guidance by removing all references to software development project stages so that the guidance is neutral to different software development methods. The update is effective for annual periods beginning after December 15, 2027, including interim periods within those fiscal years; early adoption is permitted. Management does not expect this update to have a material impact on the Company’s and Southwest Gas’ condensed consolidated financial statements.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2026, the FASB issued ASU 2026-02, “Environmental Credits and Environmental Credit Obligations (Topic 818).” The update provides guidance for the recognition, measurement, presentation, and disclosure of environmental credits and environmental credit obligations. The update is effective for annual reporting periods beginning after December 15, 2027, including interim periods within those fiscal years; early adoption is permitted. The update should be applied on a retrospective basis through a cumulative-effect adjustment to the opening balance of retained earnings (or other appropriate components of equity or net assets) as of the beginning of the annual reporting period of adoption. Management is evaluating the impacts this update might have on the Company’s and Southwest Gas’ condensed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operating revenues, but not its Operating margin (Regulated operations revenues less the net cost of gas sold), are directly impacted by variability between comparative periods in the cost of natural gas procured for customers as these costs are incorporated in customer rates. When included in rates (for customers except those taking transportation-only service), these costs are passed through to customers generally dollar-for-dollar without markup. Operating margin is a non-GAAP financial measure and should be considered in addition to, not as a substitute for, measures of financial performance prepared in accordance with GAAP. Southwest Gas’ revenues overall, reflected on the Condensed Consolidated Statements of Income of both the Company and Southwest Gas, include revenue from contracts with customers, which is shown below disaggregated by customer type, in addition to other categories of revenue:</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7"/>
                <w:szCs w:val="17"/>
                <w:color w:val="auto"/>
              </w:rPr>
            </w:pPr>
          </w:p>
        </w:tc>
        <w:tc>
          <w:tcPr>
            <w:tcW w:w="22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6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2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743,448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969,225</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commercial</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191,141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252,953</w:t>
            </w: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commercial</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56,394</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33,836</w:t>
            </w: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87,195</w:t>
            </w:r>
          </w:p>
        </w:tc>
      </w:tr>
      <w:tr>
        <w:trPr>
          <w:trHeight w:val="23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1,084,835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1,399,603</w:t>
            </w: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 revenues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52,568</w:t>
            </w:r>
          </w:p>
        </w:tc>
      </w:tr>
      <w:tr>
        <w:trPr>
          <w:trHeight w:val="243"/>
        </w:trPr>
        <w:tc>
          <w:tcPr>
            <w:tcW w:w="62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w:t>
            </w:r>
          </w:p>
        </w:tc>
      </w:tr>
      <w:tr>
        <w:trPr>
          <w:trHeight w:val="261"/>
        </w:trPr>
        <w:tc>
          <w:tcPr>
            <w:tcW w:w="6260" w:type="dxa"/>
            <w:vAlign w:val="bottom"/>
            <w:tcBorders>
              <w:bottom w:val="single" w:sz="8" w:color="CCEEFF"/>
            </w:tcBorders>
            <w:shd w:val="clear" w:color="auto" w:fill="CCEEFF"/>
          </w:tcPr>
          <w:p>
            <w:pPr>
              <w:ind w:left="360"/>
              <w:spacing w:after="0" w:line="236" w:lineRule="exact"/>
              <w:rPr>
                <w:sz w:val="20"/>
                <w:szCs w:val="20"/>
                <w:color w:val="auto"/>
              </w:rPr>
            </w:pPr>
            <w:r>
              <w:rPr>
                <w:rFonts w:ascii="Times New Roman" w:cs="Times New Roman" w:eastAsia="Times New Roman" w:hAnsi="Times New Roman"/>
                <w:sz w:val="18"/>
                <w:szCs w:val="18"/>
                <w:color w:val="auto"/>
              </w:rPr>
              <w:t xml:space="preserve">Total Regulated operations revenues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1,241,456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1,459,645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20" w:hanging="150"/>
        <w:spacing w:after="0"/>
        <w:tabs>
          <w:tab w:leader="none" w:pos="32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Amounts include late fees and other miscellaneous revenues and may also include the impact of certain regulatory mechanisms.</w:t>
      </w:r>
    </w:p>
    <w:p>
      <w:pPr>
        <w:spacing w:after="0" w:line="10" w:lineRule="exact"/>
        <w:rPr>
          <w:rFonts w:ascii="Times New Roman" w:cs="Times New Roman" w:eastAsia="Times New Roman" w:hAnsi="Times New Roman"/>
          <w:sz w:val="19"/>
          <w:szCs w:val="19"/>
          <w:color w:val="auto"/>
          <w:vertAlign w:val="superscript"/>
        </w:rPr>
      </w:pPr>
    </w:p>
    <w:p>
      <w:pPr>
        <w:ind w:left="340" w:hanging="170"/>
        <w:spacing w:after="0" w:line="197" w:lineRule="auto"/>
        <w:tabs>
          <w:tab w:leader="none" w:pos="3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amounts for the </w:t>
      </w:r>
      <w:r>
        <w:rPr>
          <w:rFonts w:ascii="Times New Roman" w:cs="Times New Roman" w:eastAsia="Times New Roman" w:hAnsi="Times New Roman"/>
          <w:sz w:val="17"/>
          <w:szCs w:val="17"/>
          <w:color w:val="auto"/>
        </w:rPr>
        <w:t>nine</w:t>
      </w:r>
      <w:r>
        <w:rPr>
          <w:rFonts w:ascii="Times New Roman" w:cs="Times New Roman" w:eastAsia="Times New Roman" w:hAnsi="Times New Roman"/>
          <w:sz w:val="16"/>
          <w:szCs w:val="16"/>
          <w:color w:val="auto"/>
        </w:rPr>
        <w:t xml:space="preserve"> months ended September 30, 2025 differ from Southwest Gas due to the revision discussed in </w:t>
      </w:r>
      <w:r>
        <w:rPr>
          <w:rFonts w:ascii="Times New Roman" w:cs="Times New Roman" w:eastAsia="Times New Roman" w:hAnsi="Times New Roman"/>
          <w:sz w:val="16"/>
          <w:szCs w:val="16"/>
          <w:b w:val="1"/>
          <w:bCs w:val="1"/>
          <w:color w:val="auto"/>
        </w:rPr>
        <w:t>Note 6 - Previously Issued Condensed</w:t>
      </w:r>
    </w:p>
    <w:p>
      <w:pPr>
        <w:spacing w:after="0" w:line="4" w:lineRule="exact"/>
        <w:rPr>
          <w:rFonts w:ascii="Times New Roman" w:cs="Times New Roman" w:eastAsia="Times New Roman" w:hAnsi="Times New Roman"/>
          <w:sz w:val="21"/>
          <w:szCs w:val="21"/>
          <w:color w:val="auto"/>
          <w:vertAlign w:val="superscript"/>
        </w:rPr>
      </w:pPr>
    </w:p>
    <w:p>
      <w:pPr>
        <w:ind w:left="18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b w:val="1"/>
          <w:bCs w:val="1"/>
          <w:color w:val="auto"/>
        </w:rPr>
        <w:t>Consolidated Financial Statements.</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As of </w:t>
      </w:r>
      <w:r>
        <w:rPr>
          <w:rFonts w:ascii="Times New Roman" w:cs="Times New Roman" w:eastAsia="Times New Roman" w:hAnsi="Times New Roman"/>
          <w:sz w:val="17"/>
          <w:szCs w:val="17"/>
          <w:color w:val="auto"/>
        </w:rPr>
        <w:t>September 30, 2026, the Company and Southwest Gas had backlog performance obligations through Great Basin, excluding intercompany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transactions, totaling $46.6 million through August 31, 2029. Of the current backlog, $4.3 million is expected to be fulfilled within the year ended December 31, 2026, $15.9 million within the year ended December 31, 2027, $15.9 million within the year ended December 31, 2028, and $10.5 million within the year ended December 31, 2029. Under the terms of Great Basin’s current settlement agreement, new rates will become effective no later than September 1, 2029. Accordingly, the Company and Southwest Gas are unable to reasonably estimate performance obligations that may arise beyond September 1, 2029. The backlog consists of firm customer contracts for natural gas transportation services. The backlog does not reflect any contracts or commitments associated with the Great Basin 2028 expansion project, which are expected to be incorporated into the backlog when the commercial operations start. Seasonal fluctuation may impact the timing of fulfillment as demand for natural gas typically increases during winter months. The Company defines backlog as the aggregate value of signed contracts for which performance obligations remain unsatisfied.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Southwest Gas has a $400.0 million revolving credit facility that is scheduled to expire in August 2029. In June 2025, Southwest Gas amended this revolving credit agreement, which among other things, added a swingline loan sub-facility in an aggregate principal amount at any time outstanding not to exceed $30.0 million and added a one-week interest period option with an interest rate equal to Daily Simple SOFR plus 0.03839% plus the applicable margin. Southwest Gas is also required to pay a commitment fee on the unfunded portion of the commitments which ranges from 0.075% to 0.200%. At September 30, 2026, the applicable margin was 1.125% for loans bearing interest with reference to SOFR and 0.125% for loans bearing interest with reference to the alternative base rate. To support its commercial paper program, available capacity under the revolving credit facility is reduced by outstanding commercial paper. At September 30, 2026, no borrowings were outstanding under the revolving credit facility and there was an amount outstanding on the commercial paper as described below.</w:t>
      </w:r>
    </w:p>
    <w:p>
      <w:pPr>
        <w:spacing w:after="0" w:line="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Southwest Gas Holdings has a $300.0 million revolving credit agreement that is scheduled to expire in August 2029. At September 30, 2026, the applicable margin is 1.125% for loans bearing interest to SOFR and 0.125% for loans bearing interest with reference to the alternative base. Southwest Gas Holdings has a one-week interest period option with an interest rate equal to Daily Simple SOFR plus 0.03839% plus the applicable margin. Southwest Gas Holdings is also required to pay a commitment fee on the unfunded portion of the commitments, which ranges from 0.075% to 0.200%. The revolving credit agreement also contains a swingline loan sub-facility in an aggregate principal amount at any time outstanding not to exceed $30.0 million. At September 30, 2026, there were no borrowings outstanding under this credit facility.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Long-term debt is recognized in the Company’s and Southwest Gas’ Condensed Consolidated Balance Sheets generally at the carrying value of the obligations outstanding. Details surrounding the fair value and individual carrying values of instruments are provided in the table that follows.</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0"/>
                <w:szCs w:val="20"/>
                <w:color w:val="auto"/>
              </w:rPr>
            </w:pPr>
          </w:p>
        </w:tc>
        <w:tc>
          <w:tcPr>
            <w:tcW w:w="21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6"/>
        </w:trPr>
        <w:tc>
          <w:tcPr>
            <w:tcW w:w="6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580"/>
              <w:spacing w:after="0" w:line="182" w:lineRule="exact"/>
              <w:rPr>
                <w:sz w:val="20"/>
                <w:szCs w:val="20"/>
                <w:color w:val="auto"/>
              </w:rPr>
            </w:pPr>
            <w:r>
              <w:rPr>
                <w:rFonts w:ascii="Times New Roman" w:cs="Times New Roman" w:eastAsia="Times New Roman" w:hAnsi="Times New Roman"/>
                <w:sz w:val="18"/>
                <w:szCs w:val="18"/>
                <w:color w:val="auto"/>
              </w:rPr>
              <w:t>Carrying</w:t>
            </w:r>
          </w:p>
        </w:tc>
        <w:tc>
          <w:tcPr>
            <w:tcW w:w="100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8"/>
                <w:szCs w:val="18"/>
                <w:color w:val="auto"/>
              </w:rPr>
              <w:t>Fair</w:t>
            </w:r>
          </w:p>
        </w:tc>
        <w:tc>
          <w:tcPr>
            <w:tcW w:w="160" w:type="dxa"/>
            <w:vAlign w:val="bottom"/>
          </w:tcPr>
          <w:p>
            <w:pPr>
              <w:spacing w:after="0"/>
              <w:rPr>
                <w:sz w:val="15"/>
                <w:szCs w:val="15"/>
                <w:color w:val="auto"/>
              </w:rPr>
            </w:pPr>
          </w:p>
        </w:tc>
        <w:tc>
          <w:tcPr>
            <w:tcW w:w="96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Value</w:t>
            </w:r>
          </w:p>
        </w:tc>
        <w:tc>
          <w:tcPr>
            <w:tcW w:w="16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and Southwest Gas Corporation:</w:t>
            </w: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 Series, due August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76,388</w:t>
            </w: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7.92% series, due June 2027</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26,058</w:t>
            </w: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Medium-term notes, 6.76% series, due September 2027</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5.8%, due December 2027</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309,090</w:t>
            </w: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3.7%, due April 2028</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297,450</w:t>
            </w: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5.45%, due February 2028</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307,620</w:t>
            </w: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2.2%, due June 2030</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409,365</w:t>
            </w: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4.05%, due March 2032</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579,540</w:t>
            </w: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6.1%, due February 2041</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130,762</w:t>
            </w: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4.875%, due October 2043</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219,350</w:t>
            </w: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3.8%, due September 2046</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228,180</w:t>
            </w: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4.15%, due June 2049</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237,120</w:t>
            </w: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3.18%, due August 2051</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205,710</w:t>
            </w: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3,236,828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3,309,293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 and commercial paper</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Tax-exempt Series A, due December 2028</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2003 Series A, due March 2038</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2008 Series A, due March 2038</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2009 Series A, due December 2039</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Southwest Gas Holdings, Inc. and Southwest Gas Corporation total long-term debt,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3,499,280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3,433,012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July 2026, Southwest Gas expanded its commercial paper program from $50.0 million to $100.0 million and entered into new dealer agreements in connection with the expanded program. At September 30, 2026, $96.0 million of commercial paper borrowings were outstanding and classified as long-term debt based on management’s intent and ability to refinance these obligations on a long-term basis.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indicated above in the Long-Term debt table, the 8% Series debenture for $75.0 million matured in August 2026 and was repaid on August 3, 2026, while the 7.92% Series Medium-Term Note for $25.0 million matures in June 2027 and 6.76% Series Medium-Term Note for $7.5 million matures in September 2027.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of the current maturities of long-term debt was 7.71% at September 30, 2026 and 9.23% at December 31, 2025.</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Components of Net Periodic Benefit Cost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Southwest Gas' net periodic benefit cost for its QRP, SERP, and PBOP for the three and nine months ended September 30, 2026 and 2025 are presented in the following tables.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37"/>
        </w:trPr>
        <w:tc>
          <w:tcPr>
            <w:tcW w:w="3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QRP</w:t>
            </w:r>
          </w:p>
        </w:tc>
        <w:tc>
          <w:tcPr>
            <w:tcW w:w="240" w:type="dxa"/>
            <w:vAlign w:val="bottom"/>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SERP</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PBOP</w:t>
            </w:r>
          </w:p>
        </w:tc>
        <w:tc>
          <w:tcPr>
            <w:tcW w:w="28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QRP</w:t>
            </w:r>
          </w:p>
        </w:tc>
        <w:tc>
          <w:tcPr>
            <w:tcW w:w="26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SERP</w:t>
            </w:r>
          </w:p>
        </w:tc>
        <w:tc>
          <w:tcPr>
            <w:tcW w:w="24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r>
      <w:tr>
        <w:trPr>
          <w:trHeight w:val="237"/>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3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37"/>
        </w:trPr>
        <w:tc>
          <w:tcPr>
            <w:tcW w:w="3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3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QRP</w:t>
            </w:r>
          </w:p>
        </w:tc>
        <w:tc>
          <w:tcPr>
            <w:tcW w:w="240" w:type="dxa"/>
            <w:vAlign w:val="bottom"/>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SERP</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PBOP</w:t>
            </w:r>
          </w:p>
        </w:tc>
        <w:tc>
          <w:tcPr>
            <w:tcW w:w="28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QRP</w:t>
            </w:r>
          </w:p>
        </w:tc>
        <w:tc>
          <w:tcPr>
            <w:tcW w:w="26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SERP</w:t>
            </w:r>
          </w:p>
        </w:tc>
        <w:tc>
          <w:tcPr>
            <w:tcW w:w="24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r>
      <w:tr>
        <w:trPr>
          <w:trHeight w:val="237"/>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1"/>
        </w:trPr>
        <w:tc>
          <w:tcPr>
            <w:tcW w:w="3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Previously Issued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Southwest Gas Holdings, Inc.– Restatement of Previously Issued Condensed Consolidated Financial Statements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Company’s 2025 Form 10-K, management identified errors in the calculation of estimated deferred income tax liabilities associated with state income taxes. The errors arose following the Company’s sale of shares of Centuri’s common stock in the second and third quarters of 2025, which resulted in the tax deconsolidation of Centuri. The errors occurred because the Company did not update estimated future state apportionment rates following the Company’s sale of 13,207,142 shares of Centuri common stock on May 22, 2025, which resulted in income tax deconsolidation for Arizona, and subsequently following the Company's sale of 18,823,500 shares of Centuri common stock on August 11, 2025, which resulted in income tax deconsolidation for the remaining states, primarily California. As a result, income tax expense and net deferred income tax liabilities were understated by approximately $7.8 million as of and for the three months ended September 30, 2025, and $35.1 million as of and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correction of the errors on the Condensed Consolidated Financial Statements are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color w:val="auto"/>
                <w:w w:val="99"/>
              </w:rPr>
              <w:t>Three Months Ended September 30, 2025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color w:val="auto"/>
                <w:w w:val="99"/>
              </w:rPr>
              <w:t>Nine Months Ended September 30, 2025</w:t>
            </w:r>
          </w:p>
        </w:tc>
      </w:tr>
      <w:tr>
        <w:trPr>
          <w:trHeight w:val="236"/>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Restated</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Reported</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As Restated</w:t>
            </w:r>
          </w:p>
        </w:tc>
      </w:tr>
      <w:tr>
        <w:trPr>
          <w:trHeight w:val="237"/>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71,172</w:t>
            </w:r>
          </w:p>
        </w:tc>
      </w:tr>
      <w:tr>
        <w:trPr>
          <w:trHeight w:val="189"/>
        </w:trPr>
        <w:tc>
          <w:tcPr>
            <w:tcW w:w="3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(loss) from continuing operations, net of</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129,890</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331,704</w:t>
            </w:r>
          </w:p>
        </w:tc>
      </w:tr>
      <w:tr>
        <w:trPr>
          <w:trHeight w:val="189"/>
        </w:trPr>
        <w:tc>
          <w:tcPr>
            <w:tcW w:w="3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Net income (loss) attributable to Southwest Gas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Holdings, Inc.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371,463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336,350</w:t>
            </w:r>
          </w:p>
        </w:tc>
      </w:tr>
      <w:tr>
        <w:trPr>
          <w:trHeight w:val="270"/>
        </w:trPr>
        <w:tc>
          <w:tcPr>
            <w:tcW w:w="3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189"/>
        </w:trPr>
        <w:tc>
          <w:tcPr>
            <w:tcW w:w="3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Earnings (loss) per share attributable to</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7"/>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per share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70"/>
        </w:trPr>
        <w:tc>
          <w:tcPr>
            <w:tcW w:w="3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3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per share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70"/>
        </w:trPr>
        <w:tc>
          <w:tcPr>
            <w:tcW w:w="3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72,104</w:t>
            </w:r>
          </w:p>
        </w:tc>
      </w:tr>
      <w:tr>
        <w:trPr>
          <w:trHeight w:val="243"/>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72,265</w:t>
            </w: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p>
      <w:pPr>
        <w:spacing w:after="0" w:line="36"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Comprehensive income (loss) attributable to Southwest Gas Holdings, Inc.</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thousands)</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(Unaudited)</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color w:val="auto"/>
                <w:w w:val="99"/>
              </w:rPr>
              <w:t>Three Months Ended September 30, 2025</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color w:val="auto"/>
                <w:w w:val="99"/>
              </w:rPr>
              <w:t>Nine Months Ended September 30, 2025</w:t>
            </w:r>
          </w:p>
        </w:tc>
      </w:tr>
      <w:tr>
        <w:trPr>
          <w:trHeight w:val="236"/>
        </w:trPr>
        <w:tc>
          <w:tcPr>
            <w:tcW w:w="14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Adjustments</w:t>
            </w:r>
          </w:p>
        </w:tc>
        <w:tc>
          <w:tcPr>
            <w:tcW w:w="16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Restated</w:t>
            </w:r>
          </w:p>
        </w:tc>
        <w:tc>
          <w:tcPr>
            <w:tcW w:w="14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14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Adjustments</w:t>
            </w:r>
          </w:p>
        </w:tc>
        <w:tc>
          <w:tcPr>
            <w:tcW w:w="14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As Restated</w:t>
            </w:r>
          </w:p>
        </w:tc>
      </w:tr>
      <w:tr>
        <w:trPr>
          <w:trHeight w:val="237"/>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(7,842)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260,117</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366,817</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331,704</w:t>
            </w:r>
          </w:p>
        </w:tc>
      </w:tr>
      <w:tr>
        <w:trPr>
          <w:trHeight w:val="243"/>
        </w:trPr>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(7,842)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337,661</w:t>
            </w:r>
          </w:p>
        </w:tc>
      </w:tr>
      <w:tr>
        <w:trPr>
          <w:trHeight w:val="432"/>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269,879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(7,842)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377,131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-591185</wp:posOffset>
            </wp:positionV>
            <wp:extent cx="711517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-273685</wp:posOffset>
            </wp:positionV>
            <wp:extent cx="7115175"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140"/>
            <w:col w:w="7860"/>
          </w:cols>
          <w:pgMar w:left="320" w:top="27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8"/>
              </w:rPr>
              <w:t>September 30, 2026</w:t>
            </w:r>
          </w:p>
        </w:tc>
        <w:tc>
          <w:tcPr>
            <w:tcW w:w="0" w:type="dxa"/>
            <w:vAlign w:val="bottom"/>
          </w:tcPr>
          <w:p>
            <w:pPr>
              <w:spacing w:after="0"/>
              <w:rPr>
                <w:sz w:val="1"/>
                <w:szCs w:val="1"/>
                <w:color w:val="auto"/>
              </w:rPr>
            </w:pPr>
          </w:p>
        </w:tc>
      </w:tr>
      <w:tr>
        <w:trPr>
          <w:trHeight w:val="102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3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8"/>
              </w:rPr>
              <w:t>CONSOLIDATED STATEMENTS OF CASH FLOWS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(In thousands)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(Unaudited)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11"/>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0" w:type="dxa"/>
            <w:vAlign w:val="bottom"/>
          </w:tcPr>
          <w:p>
            <w:pPr>
              <w:spacing w:after="0"/>
              <w:rPr>
                <w:sz w:val="1"/>
                <w:szCs w:val="1"/>
                <w:color w:val="auto"/>
              </w:rPr>
            </w:pPr>
          </w:p>
        </w:tc>
      </w:tr>
      <w:tr>
        <w:trPr>
          <w:trHeight w:val="237"/>
        </w:trPr>
        <w:tc>
          <w:tcPr>
            <w:tcW w:w="6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As Reported</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Adjustments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As Restated</w:t>
            </w:r>
          </w:p>
        </w:tc>
        <w:tc>
          <w:tcPr>
            <w:tcW w:w="0" w:type="dxa"/>
            <w:vAlign w:val="bottom"/>
          </w:tcPr>
          <w:p>
            <w:pPr>
              <w:spacing w:after="0"/>
              <w:rPr>
                <w:sz w:val="1"/>
                <w:szCs w:val="1"/>
                <w:color w:val="auto"/>
              </w:rPr>
            </w:pPr>
          </w:p>
        </w:tc>
      </w:tr>
      <w:tr>
        <w:trPr>
          <w:trHeight w:val="223"/>
        </w:trPr>
        <w:tc>
          <w:tcPr>
            <w:tcW w:w="6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366,817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331,704</w:t>
            </w:r>
          </w:p>
        </w:tc>
        <w:tc>
          <w:tcPr>
            <w:tcW w:w="0" w:type="dxa"/>
            <w:vAlign w:val="bottom"/>
          </w:tcPr>
          <w:p>
            <w:pPr>
              <w:spacing w:after="0"/>
              <w:rPr>
                <w:sz w:val="1"/>
                <w:szCs w:val="1"/>
                <w:color w:val="auto"/>
              </w:rPr>
            </w:pPr>
          </w:p>
        </w:tc>
      </w:tr>
      <w:tr>
        <w:trPr>
          <w:trHeight w:val="243"/>
        </w:trPr>
        <w:tc>
          <w:tcPr>
            <w:tcW w:w="60" w:type="dxa"/>
            <w:vAlign w:val="bottom"/>
            <w:shd w:val="clear" w:color="auto" w:fill="CCEEFF"/>
          </w:tcPr>
          <w:p>
            <w:pPr>
              <w:spacing w:after="0"/>
              <w:rPr>
                <w:sz w:val="21"/>
                <w:szCs w:val="21"/>
                <w:color w:val="auto"/>
              </w:rPr>
            </w:pPr>
          </w:p>
        </w:tc>
        <w:tc>
          <w:tcPr>
            <w:tcW w:w="6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net of income tax</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CCEEFF"/>
          </w:tcPr>
          <w:p>
            <w:pPr>
              <w:spacing w:after="0"/>
              <w:rPr>
                <w:sz w:val="21"/>
                <w:szCs w:val="21"/>
                <w:color w:val="auto"/>
              </w:rPr>
            </w:pPr>
          </w:p>
        </w:tc>
        <w:tc>
          <w:tcPr>
            <w:tcW w:w="6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509,136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509,136</w:t>
            </w:r>
          </w:p>
        </w:tc>
        <w:tc>
          <w:tcPr>
            <w:tcW w:w="0" w:type="dxa"/>
            <w:vAlign w:val="bottom"/>
          </w:tcPr>
          <w:p>
            <w:pPr>
              <w:spacing w:after="0"/>
              <w:rPr>
                <w:sz w:val="1"/>
                <w:szCs w:val="1"/>
                <w:color w:val="auto"/>
              </w:rPr>
            </w:pPr>
          </w:p>
        </w:tc>
      </w:tr>
      <w:tr>
        <w:trPr>
          <w:trHeight w:val="243"/>
        </w:trPr>
        <w:tc>
          <w:tcPr>
            <w:tcW w:w="60" w:type="dxa"/>
            <w:vAlign w:val="bottom"/>
            <w:shd w:val="clear" w:color="auto" w:fill="CCEEFF"/>
          </w:tcPr>
          <w:p>
            <w:pPr>
              <w:spacing w:after="0"/>
              <w:rPr>
                <w:sz w:val="21"/>
                <w:szCs w:val="21"/>
                <w:color w:val="auto"/>
              </w:rPr>
            </w:pPr>
          </w:p>
        </w:tc>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474,508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474,508</w:t>
            </w:r>
          </w:p>
        </w:tc>
        <w:tc>
          <w:tcPr>
            <w:tcW w:w="0" w:type="dxa"/>
            <w:vAlign w:val="bottom"/>
          </w:tcPr>
          <w:p>
            <w:pPr>
              <w:spacing w:after="0"/>
              <w:rPr>
                <w:sz w:val="1"/>
                <w:szCs w:val="1"/>
                <w:color w:val="auto"/>
              </w:rPr>
            </w:pPr>
          </w:p>
        </w:tc>
      </w:tr>
      <w:tr>
        <w:trPr>
          <w:trHeight w:val="82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8"/>
              </w:rPr>
              <w:t>CONSOLIDATED STATEMENTS OF EQUITY</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(In thousands)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(Unaudited)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5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As Reported</w:t>
            </w:r>
          </w:p>
        </w:tc>
        <w:tc>
          <w:tcPr>
            <w:tcW w:w="220" w:type="dxa"/>
            <w:vAlign w:val="bottom"/>
          </w:tcPr>
          <w:p>
            <w:pPr>
              <w:spacing w:after="0"/>
              <w:rPr>
                <w:sz w:val="21"/>
                <w:szCs w:val="21"/>
                <w:color w:val="auto"/>
              </w:rPr>
            </w:pPr>
          </w:p>
        </w:tc>
        <w:tc>
          <w:tcPr>
            <w:tcW w:w="12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Adjustments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As Restated</w:t>
            </w:r>
          </w:p>
        </w:tc>
        <w:tc>
          <w:tcPr>
            <w:tcW w:w="0" w:type="dxa"/>
            <w:vAlign w:val="bottom"/>
          </w:tcPr>
          <w:p>
            <w:pPr>
              <w:spacing w:after="0"/>
              <w:rPr>
                <w:sz w:val="1"/>
                <w:szCs w:val="1"/>
                <w:color w:val="auto"/>
              </w:rPr>
            </w:pPr>
          </w:p>
        </w:tc>
      </w:tr>
      <w:tr>
        <w:trPr>
          <w:trHeight w:val="169"/>
        </w:trPr>
        <w:tc>
          <w:tcPr>
            <w:tcW w:w="60" w:type="dxa"/>
            <w:vAlign w:val="bottom"/>
            <w:tcBorders>
              <w:top w:val="single" w:sz="8" w:color="CCEEFF"/>
            </w:tcBorders>
            <w:shd w:val="clear" w:color="auto" w:fill="CCEEFF"/>
          </w:tcPr>
          <w:p>
            <w:pPr>
              <w:spacing w:after="0"/>
              <w:rPr>
                <w:sz w:val="14"/>
                <w:szCs w:val="14"/>
                <w:color w:val="auto"/>
              </w:rPr>
            </w:pPr>
          </w:p>
        </w:tc>
        <w:tc>
          <w:tcPr>
            <w:tcW w:w="6780" w:type="dxa"/>
            <w:vAlign w:val="bottom"/>
            <w:tcBorders>
              <w:top w:val="single" w:sz="8" w:color="CCEEFF"/>
            </w:tcBorders>
            <w:gridSpan w:val="3"/>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color w:val="auto"/>
              </w:rPr>
              <w:t>Net loss attributable to Southwest Gas Holdings, Inc., for the three months ended June 30,</w:t>
            </w: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Retained earnings, June 30, 2025</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742,452</w:t>
            </w:r>
          </w:p>
        </w:tc>
        <w:tc>
          <w:tcPr>
            <w:tcW w:w="0" w:type="dxa"/>
            <w:vAlign w:val="bottom"/>
          </w:tcPr>
          <w:p>
            <w:pPr>
              <w:spacing w:after="0"/>
              <w:rPr>
                <w:sz w:val="1"/>
                <w:szCs w:val="1"/>
                <w:color w:val="auto"/>
              </w:rPr>
            </w:pPr>
          </w:p>
        </w:tc>
      </w:tr>
      <w:tr>
        <w:trPr>
          <w:trHeight w:val="243"/>
        </w:trPr>
        <w:tc>
          <w:tcPr>
            <w:tcW w:w="60" w:type="dxa"/>
            <w:vAlign w:val="bottom"/>
            <w:shd w:val="clear" w:color="auto" w:fill="CCEEFF"/>
          </w:tcPr>
          <w:p>
            <w:pPr>
              <w:spacing w:after="0"/>
              <w:rPr>
                <w:sz w:val="21"/>
                <w:szCs w:val="21"/>
                <w:color w:val="auto"/>
              </w:rPr>
            </w:pPr>
          </w:p>
        </w:tc>
        <w:tc>
          <w:tcPr>
            <w:tcW w:w="6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equity attributable to Southwest Gas Holdings, Inc., June 30, 2025</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3,674,657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3,647,386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equity, June 30, 2025</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4,115,805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4,088,534</w:t>
            </w:r>
          </w:p>
        </w:tc>
        <w:tc>
          <w:tcPr>
            <w:tcW w:w="0" w:type="dxa"/>
            <w:vAlign w:val="bottom"/>
          </w:tcPr>
          <w:p>
            <w:pPr>
              <w:spacing w:after="0"/>
              <w:rPr>
                <w:sz w:val="1"/>
                <w:szCs w:val="1"/>
                <w:color w:val="auto"/>
              </w:rPr>
            </w:pPr>
          </w:p>
        </w:tc>
      </w:tr>
      <w:tr>
        <w:trPr>
          <w:trHeight w:val="175"/>
        </w:trPr>
        <w:tc>
          <w:tcPr>
            <w:tcW w:w="60" w:type="dxa"/>
            <w:vAlign w:val="bottom"/>
            <w:shd w:val="clear" w:color="auto" w:fill="CCEEFF"/>
          </w:tcPr>
          <w:p>
            <w:pPr>
              <w:spacing w:after="0"/>
              <w:rPr>
                <w:sz w:val="15"/>
                <w:szCs w:val="15"/>
                <w:color w:val="auto"/>
              </w:rPr>
            </w:pPr>
          </w:p>
        </w:tc>
        <w:tc>
          <w:tcPr>
            <w:tcW w:w="6780" w:type="dxa"/>
            <w:vAlign w:val="bottom"/>
            <w:gridSpan w:val="3"/>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Net income (loss) attributable to Southwest Gas Holdings, Inc., for the three months ended September</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262,634</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30, 2025</w:t>
            </w:r>
          </w:p>
        </w:tc>
        <w:tc>
          <w:tcPr>
            <w:tcW w:w="1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7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Retained earnings, September 30, 2025</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964,286</w:t>
            </w:r>
          </w:p>
        </w:tc>
        <w:tc>
          <w:tcPr>
            <w:tcW w:w="0" w:type="dxa"/>
            <w:vAlign w:val="bottom"/>
          </w:tcPr>
          <w:p>
            <w:pPr>
              <w:spacing w:after="0"/>
              <w:rPr>
                <w:sz w:val="1"/>
                <w:szCs w:val="1"/>
                <w:color w:val="auto"/>
              </w:rPr>
            </w:pPr>
          </w:p>
        </w:tc>
      </w:tr>
      <w:tr>
        <w:trPr>
          <w:trHeight w:val="243"/>
        </w:trPr>
        <w:tc>
          <w:tcPr>
            <w:tcW w:w="60" w:type="dxa"/>
            <w:vAlign w:val="bottom"/>
            <w:shd w:val="clear" w:color="auto" w:fill="CCEEFF"/>
          </w:tcPr>
          <w:p>
            <w:pPr>
              <w:spacing w:after="0"/>
              <w:rPr>
                <w:sz w:val="21"/>
                <w:szCs w:val="21"/>
                <w:color w:val="auto"/>
              </w:rPr>
            </w:pPr>
          </w:p>
        </w:tc>
        <w:tc>
          <w:tcPr>
            <w:tcW w:w="6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September 30, 2025</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3,928,679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3,893,566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7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Total equity, September 30, 2025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3,928,679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3,893,566</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Southwest Gas Corporation – Revision of Previously Issued Financial Statements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the Company’s 2025 Form 10-K for Southwest Gas, management identified errors in the calculation of the estimated deferred income tax liabilities associated with state income taxes. The issues result from not timely updating estimated apportionment rates to reflect certain events. For Southwest Gas, the errors date back to the formation of Southwest Gas Holdings in 2017, when Southwest Gas and Centuri became wholly-owned subsidiaries of Southwest Gas Holdings. These errors were determined to be not material to any previously issued Southwest Gas financial statements. However, Southwest Gas revised the historical financial statements due to the magnitude of the cumulative effect of the prior year errors. Southwest Gas also revised the historical financial statements to correct other previously identified immaterial errors.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correction of the errors on the Condensed Consolidated Financial Statements are as follows:</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100" w:type="dxa"/>
            <w:vAlign w:val="bottom"/>
            <w:gridSpan w:val="2"/>
          </w:tcPr>
          <w:p>
            <w:pPr>
              <w:spacing w:after="0"/>
              <w:rPr>
                <w:sz w:val="20"/>
                <w:szCs w:val="20"/>
                <w:color w:val="auto"/>
              </w:rPr>
            </w:pPr>
          </w:p>
        </w:tc>
        <w:tc>
          <w:tcPr>
            <w:tcW w:w="38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20" w:type="dxa"/>
            <w:vAlign w:val="bottom"/>
          </w:tcPr>
          <w:p>
            <w:pPr>
              <w:spacing w:after="0"/>
              <w:rPr>
                <w:sz w:val="20"/>
                <w:szCs w:val="20"/>
                <w:color w:val="auto"/>
              </w:rPr>
            </w:pPr>
          </w:p>
        </w:tc>
      </w:tr>
      <w:tr>
        <w:trPr>
          <w:trHeight w:val="236"/>
        </w:trPr>
        <w:tc>
          <w:tcPr>
            <w:tcW w:w="24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8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Adjustments</w:t>
            </w:r>
          </w:p>
        </w:tc>
        <w:tc>
          <w:tcPr>
            <w:tcW w:w="10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As Revised</w:t>
            </w:r>
          </w:p>
        </w:tc>
        <w:tc>
          <w:tcPr>
            <w:tcW w:w="10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As Reported</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As Revised</w:t>
            </w:r>
          </w:p>
        </w:tc>
        <w:tc>
          <w:tcPr>
            <w:tcW w:w="20" w:type="dxa"/>
            <w:vAlign w:val="bottom"/>
          </w:tcPr>
          <w:p>
            <w:pPr>
              <w:spacing w:after="0"/>
              <w:rPr>
                <w:sz w:val="20"/>
                <w:szCs w:val="20"/>
                <w:color w:val="auto"/>
              </w:rPr>
            </w:pPr>
          </w:p>
        </w:tc>
      </w:tr>
      <w:tr>
        <w:trPr>
          <w:trHeight w:val="237"/>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11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316,911</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1,459,645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1,461,745</w:t>
            </w:r>
          </w:p>
        </w:tc>
        <w:tc>
          <w:tcPr>
            <w:tcW w:w="20" w:type="dxa"/>
            <w:vAlign w:val="bottom"/>
          </w:tcPr>
          <w:p>
            <w:pPr>
              <w:spacing w:after="0"/>
              <w:rPr>
                <w:sz w:val="20"/>
                <w:szCs w:val="20"/>
                <w:color w:val="auto"/>
              </w:rPr>
            </w:pPr>
          </w:p>
        </w:tc>
      </w:tr>
      <w:tr>
        <w:trPr>
          <w:trHeight w:val="243"/>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318,298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320,398</w:t>
            </w:r>
          </w:p>
        </w:tc>
        <w:tc>
          <w:tcPr>
            <w:tcW w:w="20" w:type="dxa"/>
            <w:vAlign w:val="bottom"/>
          </w:tcPr>
          <w:p>
            <w:pPr>
              <w:spacing w:after="0"/>
              <w:rPr>
                <w:sz w:val="21"/>
                <w:szCs w:val="21"/>
                <w:color w:val="auto"/>
              </w:rPr>
            </w:pPr>
          </w:p>
        </w:tc>
      </w:tr>
      <w:tr>
        <w:trPr>
          <w:trHeight w:val="243"/>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225,259</w:t>
            </w:r>
          </w:p>
        </w:tc>
        <w:tc>
          <w:tcPr>
            <w:tcW w:w="20" w:type="dxa"/>
            <w:vAlign w:val="bottom"/>
          </w:tcPr>
          <w:p>
            <w:pPr>
              <w:spacing w:after="0"/>
              <w:rPr>
                <w:sz w:val="21"/>
                <w:szCs w:val="21"/>
                <w:color w:val="auto"/>
              </w:rPr>
            </w:pPr>
          </w:p>
        </w:tc>
      </w:tr>
      <w:tr>
        <w:trPr>
          <w:trHeight w:val="243"/>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30,675</w:t>
            </w:r>
          </w:p>
        </w:tc>
        <w:tc>
          <w:tcPr>
            <w:tcW w:w="20" w:type="dxa"/>
            <w:vAlign w:val="bottom"/>
          </w:tcPr>
          <w:p>
            <w:pPr>
              <w:spacing w:after="0"/>
              <w:rPr>
                <w:sz w:val="21"/>
                <w:szCs w:val="21"/>
                <w:color w:val="auto"/>
              </w:rPr>
            </w:pPr>
          </w:p>
        </w:tc>
      </w:tr>
      <w:tr>
        <w:trPr>
          <w:trHeight w:val="243"/>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194,584</w:t>
            </w:r>
          </w:p>
        </w:tc>
        <w:tc>
          <w:tcPr>
            <w:tcW w:w="20" w:type="dxa"/>
            <w:vAlign w:val="bottom"/>
          </w:tcPr>
          <w:p>
            <w:pPr>
              <w:spacing w:after="0"/>
              <w:rPr>
                <w:sz w:val="21"/>
                <w:szCs w:val="21"/>
                <w:color w:val="auto"/>
              </w:rPr>
            </w:pPr>
          </w:p>
        </w:tc>
      </w:tr>
      <w:tr>
        <w:trPr>
          <w:trHeight w:val="473"/>
        </w:trPr>
        <w:tc>
          <w:tcPr>
            <w:tcW w:w="2400" w:type="dxa"/>
            <w:vAlign w:val="bottom"/>
          </w:tcPr>
          <w:p>
            <w:pPr>
              <w:spacing w:after="0"/>
              <w:rPr>
                <w:sz w:val="24"/>
                <w:szCs w:val="24"/>
                <w:color w:val="auto"/>
              </w:rPr>
            </w:pPr>
          </w:p>
        </w:tc>
        <w:tc>
          <w:tcPr>
            <w:tcW w:w="6220" w:type="dxa"/>
            <w:vAlign w:val="bottom"/>
            <w:gridSpan w:val="21"/>
          </w:tcPr>
          <w:p>
            <w:pPr>
              <w:jc w:val="center"/>
              <w:ind w:left="1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400" w:type="dxa"/>
            <w:vAlign w:val="bottom"/>
          </w:tcPr>
          <w:p>
            <w:pPr>
              <w:spacing w:after="0"/>
              <w:rPr>
                <w:sz w:val="21"/>
                <w:szCs w:val="21"/>
                <w:color w:val="auto"/>
              </w:rPr>
            </w:pPr>
          </w:p>
        </w:tc>
        <w:tc>
          <w:tcPr>
            <w:tcW w:w="6380" w:type="dxa"/>
            <w:vAlign w:val="bottom"/>
            <w:gridSpan w:val="23"/>
          </w:tcPr>
          <w:p>
            <w:pPr>
              <w:jc w:val="center"/>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rPr>
              <w:t>(Unaudited)</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13"/>
        </w:trPr>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bottom w:val="single" w:sz="8" w:color="auto"/>
            </w:tcBorders>
            <w:gridSpan w:val="13"/>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20" w:type="dxa"/>
            <w:vAlign w:val="bottom"/>
            <w:tcBorders>
              <w:bottom w:val="single" w:sz="8" w:color="auto"/>
            </w:tcBorders>
          </w:tcPr>
          <w:p>
            <w:pPr>
              <w:spacing w:after="0"/>
              <w:rPr>
                <w:sz w:val="24"/>
                <w:szCs w:val="24"/>
                <w:color w:val="auto"/>
              </w:rPr>
            </w:pPr>
          </w:p>
        </w:tc>
      </w:tr>
      <w:tr>
        <w:trPr>
          <w:trHeight w:val="237"/>
        </w:trPr>
        <w:tc>
          <w:tcPr>
            <w:tcW w:w="24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As Reported</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As Revised</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As Reported</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As Revised</w:t>
            </w:r>
          </w:p>
        </w:tc>
        <w:tc>
          <w:tcPr>
            <w:tcW w:w="20" w:type="dxa"/>
            <w:vAlign w:val="bottom"/>
            <w:tcBorders>
              <w:bottom w:val="single" w:sz="8" w:color="auto"/>
            </w:tcBorders>
          </w:tcPr>
          <w:p>
            <w:pPr>
              <w:spacing w:after="0"/>
              <w:rPr>
                <w:sz w:val="20"/>
                <w:szCs w:val="20"/>
                <w:color w:val="auto"/>
              </w:rPr>
            </w:pPr>
          </w:p>
        </w:tc>
      </w:tr>
      <w:tr>
        <w:trPr>
          <w:trHeight w:val="237"/>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194,584</w:t>
            </w:r>
          </w:p>
        </w:tc>
        <w:tc>
          <w:tcPr>
            <w:tcW w:w="20" w:type="dxa"/>
            <w:vAlign w:val="bottom"/>
            <w:shd w:val="clear" w:color="auto" w:fill="CCEEFF"/>
          </w:tcPr>
          <w:p>
            <w:pPr>
              <w:spacing w:after="0"/>
              <w:rPr>
                <w:sz w:val="20"/>
                <w:szCs w:val="20"/>
                <w:color w:val="auto"/>
              </w:rPr>
            </w:pPr>
          </w:p>
        </w:tc>
      </w:tr>
      <w:tr>
        <w:trPr>
          <w:trHeight w:val="243"/>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11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182,943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195,388</w:t>
            </w:r>
          </w:p>
        </w:tc>
        <w:tc>
          <w:tcPr>
            <w:tcW w:w="20" w:type="dxa"/>
            <w:vAlign w:val="bottom"/>
          </w:tcPr>
          <w:p>
            <w:pPr>
              <w:spacing w:after="0"/>
              <w:rPr>
                <w:sz w:val="21"/>
                <w:szCs w:val="2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w:t>
            </w: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 Reported</w:t>
            </w: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4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194,584</w:t>
            </w:r>
          </w:p>
        </w:tc>
      </w:tr>
      <w:tr>
        <w:trPr>
          <w:trHeight w:val="24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42,545</w:t>
            </w:r>
          </w:p>
        </w:tc>
      </w:tr>
      <w:tr>
        <w:trPr>
          <w:trHeight w:val="24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90,272</w:t>
            </w:r>
          </w:p>
        </w:tc>
      </w:tr>
      <w:tr>
        <w:trPr>
          <w:trHeight w:val="243"/>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purchased gas costs</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116,765</w:t>
            </w:r>
          </w:p>
        </w:tc>
      </w:tr>
      <w:tr>
        <w:trPr>
          <w:trHeight w:val="24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(68,234)</w:t>
            </w:r>
          </w:p>
        </w:tc>
      </w:tr>
      <w:tr>
        <w:trPr>
          <w:trHeight w:val="243"/>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526,359</w:t>
            </w:r>
          </w:p>
        </w:tc>
      </w:tr>
      <w:tr>
        <w:trPr>
          <w:trHeight w:val="810"/>
        </w:trPr>
        <w:tc>
          <w:tcPr>
            <w:tcW w:w="732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9"/>
        </w:trPr>
        <w:tc>
          <w:tcPr>
            <w:tcW w:w="73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EQUITY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 Reported</w:t>
            </w: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As Revised</w:t>
            </w:r>
          </w:p>
        </w:tc>
      </w:tr>
      <w:tr>
        <w:trPr>
          <w:trHeight w:val="237"/>
        </w:trPr>
        <w:tc>
          <w:tcPr>
            <w:tcW w:w="7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for the three months ended March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142,595</w:t>
            </w:r>
          </w:p>
        </w:tc>
      </w:tr>
      <w:tr>
        <w:trPr>
          <w:trHeight w:val="24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 March 31, 2025</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1,202,052</w:t>
            </w:r>
          </w:p>
        </w:tc>
      </w:tr>
      <w:tr>
        <w:trPr>
          <w:trHeight w:val="24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 March 31, 2025</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3,416,872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3,380,149</w:t>
            </w:r>
          </w:p>
        </w:tc>
      </w:tr>
      <w:tr>
        <w:trPr>
          <w:trHeight w:val="24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for the three months ended June 30, 2025</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45,646</w:t>
            </w:r>
          </w:p>
        </w:tc>
      </w:tr>
      <w:tr>
        <w:trPr>
          <w:trHeight w:val="24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 June 30, 2025</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1,203,006</w:t>
            </w:r>
          </w:p>
        </w:tc>
      </w:tr>
      <w:tr>
        <w:trPr>
          <w:trHeight w:val="24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Equity, June 30, 2025</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3,408,373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3,383,619</w:t>
            </w:r>
          </w:p>
        </w:tc>
      </w:tr>
      <w:tr>
        <w:trPr>
          <w:trHeight w:val="24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for the three months ended September 30, 2025</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r>
      <w:tr>
        <w:trPr>
          <w:trHeight w:val="24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 September 30, 2025</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1,209,265</w:t>
            </w:r>
          </w:p>
        </w:tc>
      </w:tr>
      <w:tr>
        <w:trPr>
          <w:trHeight w:val="24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 September 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3,416,463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3,392,532</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Holdings is a holding company that owns all of the shares of common stock of Southwest Gas. Until the deconsolidation of Centuri in August 2025, the Company’s businesses were managed within two separate reportable segments, our Natural Gas Distribution segment (Southwest Gas) and our Utility Infrastructure Services segment (Centuri). After the deconsolidation of Centuri in August 2025, our business is solely comprised of our Natural Gas Distribution segment.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is engaged in the business of purchasing, distributing, and transporting natural gas for customers in portions of Arizona, Nevada, and California. Southwest Gas is the largest regulated distributor of natural gas in Arizona and Nevada, and also distributes and transports natural gas for customers in portions of California. Additionally, through its subsidiaries, Southwest Gas operates two regulated interstate pipelines serving portions of Nevada and California. Southwest Gas makes investments in infrastructure to support customer demand associated with population growth and economic development activity, and the safe and reliable operation of its system through adherence to pipeline integrity management programs.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September 30, 2026, Southwest Gas had approximately 2,298,000 residential, commercial, industrial, and other natural gas customers, of which 1,233,000 customers were located in Arizona, 857,000 in Nevada, and 208,000 in California. Residential and small commercial customers represented over 99% of the total customer base. During the twelve months ended September 30, 2026, approximately 52% of Operating margin (Regulated operations revenues less the net cost of gas sold) was earned in Arizona, approximately 34% in Nevada, and approximately 14% in California. During this same period, Southwest Gas earned approximately 86% of its Operating margin from residential and small commercial customers, approximately 4% from other sales customers, and approximately 10% from transportation customers. These patterns are expected to remain materially consistent for the foreseeable future subject to the ultimate outcome of the Great Basin 2028 expansion project. Refer to </w:t>
      </w:r>
      <w:r>
        <w:rPr>
          <w:rFonts w:ascii="Times New Roman" w:cs="Times New Roman" w:eastAsia="Times New Roman" w:hAnsi="Times New Roman"/>
          <w:sz w:val="18"/>
          <w:szCs w:val="18"/>
          <w:i w:val="1"/>
          <w:iCs w:val="1"/>
          <w:color w:val="auto"/>
        </w:rPr>
        <w:t>Great Basin 2028 Expansion Project</w:t>
      </w:r>
      <w:r>
        <w:rPr>
          <w:rFonts w:ascii="Times New Roman" w:cs="Times New Roman" w:eastAsia="Times New Roman" w:hAnsi="Times New Roman"/>
          <w:sz w:val="18"/>
          <w:szCs w:val="18"/>
          <w:color w:val="auto"/>
        </w:rPr>
        <w:t xml:space="preserve"> discussion below</w:t>
      </w:r>
      <w:r>
        <w:rPr>
          <w:rFonts w:ascii="Times New Roman" w:cs="Times New Roman" w:eastAsia="Times New Roman" w:hAnsi="Times New Roman"/>
          <w:sz w:val="18"/>
          <w:szCs w:val="18"/>
          <w:i w:val="1"/>
          <w:iCs w:val="1"/>
          <w:color w:val="auto"/>
        </w:rPr>
        <w:t>.</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Southwest Gas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U.S. GAAP. Thus, Operating margin is considered a non-GAAP measure. Management uses this financial measure because Regulated operations revenues include the net cost of gas sold, which is a tracked cost that is passed through to customers without markup under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 Gas’ financial performance in a rate-regulated environment. The principal factors affecting changes in Operating margin are generally the timing and amount of updated rates (to better align with Southwest Gas’ cost of service and capital investments, including impacts of infrastructure trackers) and customer growth. Public utility commission decisions on the amount and timing of relief may impact our earnings. Refer to the Summary Operating Results table below for a reconciliation of Utility gross margin to Operating margin, and refer to </w:t>
      </w:r>
      <w:r>
        <w:rPr>
          <w:rFonts w:ascii="Times New Roman" w:cs="Times New Roman" w:eastAsia="Times New Roman" w:hAnsi="Times New Roman"/>
          <w:sz w:val="17"/>
          <w:szCs w:val="17"/>
          <w:i w:val="1"/>
          <w:iCs w:val="1"/>
          <w:color w:val="auto"/>
        </w:rPr>
        <w:t>Rates and Regulatory Proceedings,</w:t>
      </w:r>
      <w:r>
        <w:rPr>
          <w:rFonts w:ascii="Times New Roman" w:cs="Times New Roman" w:eastAsia="Times New Roman" w:hAnsi="Times New Roman"/>
          <w:sz w:val="17"/>
          <w:szCs w:val="17"/>
          <w:color w:val="auto"/>
        </w:rPr>
        <w:t xml:space="preserve"> below for details of various rate proceedings.</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Gas’ revenues and cost of gas sold can change depending on natural gas cost included in customer rates. These changes, however, do not directly affect the company’s profits, as regulatory commissions in the states in which Southwest Gas operates have set up mechanisms that allow Southwest Gas to adjust customer rates to reflect fluctuations in natural gas cost.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If the actual cost of gas differs from what is recovered through customer rates, the difference is recorded as a deferred amount.</w:t>
      </w:r>
    </w:p>
    <w:p>
      <w:pPr>
        <w:spacing w:after="0" w:line="117"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Southwest Gas has under-recovered costs, it records a regulatory asset on the Condensed Consolidated Balance Sheets as deferred purchased gas costs and interest income on the Condensed Consolidated Statements of Income within the Other income (deductions) line item.</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Southwest Gas has over-recovered costs, it records a regulatory liability on the Condensed Consolidated Balance Sheets as deferred purchased gas costs and interest expense on the Condensed Consolidated Statements of Income within the Net interest deductions line item.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deferred amounts are either refunded to or recovered from customers during periods approved by the regulatory commissions. The rates are designed to be refunded or collected over a 12-month period.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 Gas’ service territories currently have decoupled rate structures (alternative revenue programs), which are designed to eliminate the direct link between volumetric sales and revenue, thereby mitigating the impacts of weather variability and conservation on Operating margin, allowing Southwest Gas to pursue energy efficiency initiatives. Nearly all of our customers, and resulting revenue and margin, are included as part of mechanisms that reduce the impact of weather and volume variability on our earnings.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may be impacted by economic conditions that impact businesses generally, such as inflationary impacts on goods and services consumed in the business, rising or sustained high interest rates, labor markets and costs (including in regard to contracted or professional services), and the availability of those resources.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Company’s Annual Report on Form 10-K for the fiscal year ended December 31, 2025, in addition to the Risk Factors included in these documents as may be updated from time to time.</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and Southwest Gas’ operations and are covered in greater detail in later sections of this MD&amp;A.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Period Ended September 30,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20"/>
                <w:szCs w:val="20"/>
                <w:color w:val="auto"/>
              </w:rPr>
            </w:pPr>
          </w:p>
        </w:tc>
        <w:tc>
          <w:tcPr>
            <w:tcW w:w="21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Nine Months</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638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38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Contribution to net income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Natural Gas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191,782</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194,931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6"/>
            <w:shd w:val="clear" w:color="auto" w:fill="CCEEFF"/>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Corporate and administrative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income attributable to Southwest Gas Holdings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262,634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193,279</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72,508</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61"/>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38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per share - basic</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auto"/>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Natural Gas Distribution Segment</w:t>
            </w:r>
          </w:p>
        </w:tc>
        <w:tc>
          <w:tcPr>
            <w:tcW w:w="39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Reconciliation of Utility gross margin to Operating margin (Non-GAAP measure)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571,108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380" w:type="dxa"/>
            <w:vAlign w:val="bottom"/>
            <w:tcBorders>
              <w:bottom w:val="single" w:sz="8" w:color="CCEEFF"/>
            </w:tcBorders>
            <w:gridSpan w:val="6"/>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258,188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241,703</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1,074,741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CCEEFF"/>
            </w:tcBorders>
            <w:shd w:val="clear" w:color="auto" w:fill="CCEEFF"/>
          </w:tcPr>
          <w:p>
            <w:pPr>
              <w:spacing w:after="0"/>
              <w:rPr>
                <w:sz w:val="11"/>
                <w:szCs w:val="11"/>
                <w:color w:val="auto"/>
              </w:rPr>
            </w:pPr>
          </w:p>
        </w:tc>
        <w:tc>
          <w:tcPr>
            <w:tcW w:w="2040" w:type="dxa"/>
            <w:vAlign w:val="bottom"/>
            <w:tcBorders>
              <w:bottom w:val="single" w:sz="8" w:color="CCEEFF"/>
            </w:tcBorders>
            <w:gridSpan w:val="2"/>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Southwest Gas Corporation</w:t>
            </w:r>
          </w:p>
        </w:tc>
        <w:tc>
          <w:tcPr>
            <w:tcW w:w="14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w w:val="85"/>
              </w:rPr>
              <w:t>(2)</w:t>
            </w:r>
          </w:p>
        </w:tc>
        <w:tc>
          <w:tcPr>
            <w:tcW w:w="4200" w:type="dxa"/>
            <w:vAlign w:val="bottom"/>
            <w:tcBorders>
              <w:bottom w:val="single" w:sz="8" w:color="CCEEFF"/>
            </w:tcBorders>
            <w:gridSpan w:val="3"/>
            <w:vMerge w:val="restart"/>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CCEEFF"/>
            </w:tcBorders>
            <w:shd w:val="clear" w:color="auto" w:fill="CCEEFF"/>
          </w:tcPr>
          <w:p>
            <w:pPr>
              <w:spacing w:after="0"/>
              <w:rPr>
                <w:sz w:val="5"/>
                <w:szCs w:val="5"/>
                <w:color w:val="auto"/>
              </w:rPr>
            </w:pPr>
          </w:p>
        </w:tc>
        <w:tc>
          <w:tcPr>
            <w:tcW w:w="2040" w:type="dxa"/>
            <w:vAlign w:val="bottom"/>
            <w:tcBorders>
              <w:bottom w:val="single" w:sz="8" w:color="auto"/>
            </w:tcBorders>
            <w:gridSpan w:val="2"/>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200" w:type="dxa"/>
            <w:vAlign w:val="bottom"/>
            <w:tcBorders>
              <w:bottom w:val="single" w:sz="8" w:color="CCEEFF"/>
            </w:tcBorders>
            <w:gridSpan w:val="3"/>
            <w:vMerge w:val="continue"/>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638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Reconciliation of Utility gross margin to Operating margin (Non-GAAP measure)</w:t>
            </w: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571,108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380" w:type="dxa"/>
            <w:vAlign w:val="bottom"/>
            <w:tcBorders>
              <w:bottom w:val="single" w:sz="8" w:color="CCEEFF"/>
            </w:tcBorders>
            <w:gridSpan w:val="6"/>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258,188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241,703</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1,074,741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0"/>
        <w:spacing w:after="0" w:line="225" w:lineRule="auto"/>
        <w:tabs>
          <w:tab w:leader="none" w:pos="342"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deconsolidation of Centuri, certain amounts in Corporate and administrative that relate to the Centuri separation have been reclassified to discontinued operations for all periods presented as applicable.</w:t>
      </w:r>
    </w:p>
    <w:p>
      <w:pPr>
        <w:spacing w:after="0" w:line="6" w:lineRule="exact"/>
        <w:rPr>
          <w:rFonts w:ascii="Times New Roman" w:cs="Times New Roman" w:eastAsia="Times New Roman" w:hAnsi="Times New Roman"/>
          <w:sz w:val="21"/>
          <w:szCs w:val="21"/>
          <w:color w:val="auto"/>
          <w:vertAlign w:val="superscript"/>
        </w:rPr>
      </w:pPr>
    </w:p>
    <w:p>
      <w:pPr>
        <w:jc w:val="both"/>
        <w:ind w:left="180" w:hanging="10"/>
        <w:spacing w:after="0" w:line="250" w:lineRule="auto"/>
        <w:tabs>
          <w:tab w:leader="none" w:pos="329"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Historically, Southwest Gas Corporation’s operating results have corresponded to the operating results of the Natural Gas Distribution Segment. The amounts reported in the table above differ from the Natural Gas Distribution segment for the nine months ended September 30, 2025, due to the revision described in our 2025 Annual Report on Form 10-K.</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 xml:space="preserve">3rd </w:t>
      </w:r>
      <w:r>
        <w:rPr>
          <w:rFonts w:ascii="Times New Roman" w:cs="Times New Roman" w:eastAsia="Times New Roman" w:hAnsi="Times New Roman"/>
          <w:sz w:val="17"/>
          <w:szCs w:val="17"/>
          <w:i w:val="1"/>
          <w:iCs w:val="1"/>
          <w:color w:val="auto"/>
        </w:rPr>
        <w:t>Quarter 2026 overview and other recent developments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third quarter of 2026 with nearly $657.4 million in available liquidity; the Company does not expect to issue equity in 2026.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$417.3 million into Southwest Gas for capital projects.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Utility gross margin of $571.1 million and Operating margin of $1.1 billion.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$787.2 million capital investment year-to-date.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received the final decision on our Nevada general rate case on October 14, 2026, with rates effective in October 2026, providing approximately $47.8 million of incremental annual revenue to recover costs and investments made on behalf of customers.</w:t>
      </w: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 rate case concluded in August 2026 providing $32.6 million of incremental annual revenue, reinforcing regulatory support for infrastructure investments and enhancing earnings visibility.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12529"/>
        </w:rPr>
        <w:t xml:space="preserve">Historically, the Natural Gas Distribution segment operating results have corresponded to the operating results of Southwest Gas. The amounts reported in the table below differ from Southwest Gas for the nine months ended September 30, 2025, due to the revision described in </w:t>
      </w:r>
      <w:r>
        <w:rPr>
          <w:rFonts w:ascii="Times New Roman" w:cs="Times New Roman" w:eastAsia="Times New Roman" w:hAnsi="Times New Roman"/>
          <w:sz w:val="18"/>
          <w:szCs w:val="18"/>
          <w:b w:val="1"/>
          <w:bCs w:val="1"/>
          <w:color w:val="212529"/>
        </w:rPr>
        <w:t>Note 6 - Previously Issued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b w:val="1"/>
          <w:bCs w:val="1"/>
          <w:color w:val="212529"/>
        </w:rPr>
        <w:t>Condensed Consolidated Financial Statements</w:t>
      </w:r>
      <w:r>
        <w:rPr>
          <w:rFonts w:ascii="Times New Roman" w:cs="Times New Roman" w:eastAsia="Times New Roman" w:hAnsi="Times New Roman"/>
          <w:sz w:val="18"/>
          <w:szCs w:val="18"/>
          <w:color w:val="212529"/>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Natural Gas Distribution Segment</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5"/>
        </w:trPr>
        <w:tc>
          <w:tcPr>
            <w:tcW w:w="6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9"/>
                <w:szCs w:val="19"/>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6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7"/>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1,459,645</w:t>
            </w:r>
          </w:p>
        </w:tc>
      </w:tr>
      <w:tr>
        <w:trPr>
          <w:trHeight w:val="24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42,685</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429,398</w:t>
            </w:r>
          </w:p>
        </w:tc>
      </w:tr>
      <w:tr>
        <w:trPr>
          <w:trHeight w:val="237"/>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274,226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1,074,741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1,030,247</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399,867</w:t>
            </w: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241,703</w:t>
            </w:r>
          </w:p>
        </w:tc>
      </w:tr>
      <w:tr>
        <w:trPr>
          <w:trHeight w:val="24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70,379</w:t>
            </w:r>
          </w:p>
        </w:tc>
      </w:tr>
      <w:tr>
        <w:trPr>
          <w:trHeight w:val="23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318,298</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40,385</w:t>
            </w: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46,156</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135,524</w:t>
            </w:r>
          </w:p>
        </w:tc>
      </w:tr>
      <w:tr>
        <w:trPr>
          <w:trHeight w:val="237"/>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223,159</w:t>
            </w: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w:t>
            </w:r>
          </w:p>
        </w:tc>
      </w:tr>
      <w:tr>
        <w:trPr>
          <w:trHeight w:val="237"/>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191,782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194,931</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September 30, 2026 compared to the same period in 2025, the increase in net income of $6.9 million was primarily due to:</w:t>
      </w:r>
    </w:p>
    <w:p>
      <w:pPr>
        <w:spacing w:after="0" w:line="117"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lower Net interest deductions primarily due to lower over-collected PGA balances for Nevada, lower net deferrals and recoveries associated with the Southern Nevada VIER mechanism driven by a lower recovery rate in 2026 when compared to the same period in 2025, and higher capitalization of borrowing costs related to debt AFUDC.</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higher Operating margin primarily driven by updated rates that better align with Southwest Gas’ cost of service and capital investments across California adding approximately $3.2 million. Also, there was a $1.8 million increase in recovery on regulatory account balances, with a comparable increase in Depreciation and amortization expense in regulatory account balances, $1.6 million attributable to customer growth for Arizona and Nevada, and $1.5 million increase related to Arizona SIM. Partially offsetting these increases were $3.9 million decrease attributable to nondecoupled billed margin across Arizona and Nevada, and $1.3 million decrease related to the Southern Nevada VIER mechanism, with a comparable decrease in Net interest deductions.</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higher Income tax benefit primarily due to a $3.4 million higher deferred state income tax benefit recognized in the current year’s quarter related to a change in state apportionment rates when compared to the prior year’s quarter combined with higher amortization of excess accumulated deferred income taxes.</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higher Operations and maintenance expense primarily due to increases in employee-related labor costs of $2.7 million, inclusive of a one-time incentive award of $2.0 million, and bad debt expense of $1.7 million. These increases were partially offset by lower net insurance cost of $2.1 million and lower leak survey and line locating expenses.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or 2%, higher Depreciation and amortization expense reflecting a $788.2 million, or 7%, increase in gas plant in service since the corresponding third quarter of 2025. The increase in plant was attributable to pipeline capacity reinforcement work, franchise requirements, scheduled pipe replacement activities, and new infrastructure. Also contributing to the increase was a $1.8 million higher amortization of regulatory account balances which is offset in Operating margin. This increase was partially offset by a $5.8 million cumulative adjustment related to certain regulatory assets.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higher Taxes other than income taxes primarily due to an increase in property taxes in California and Nevada jurisdictions.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nine months ended September 30, 2026 compared to the same period in 2025, the decrease in net income of $3.1 million was primarily due to:</w:t>
      </w:r>
    </w:p>
    <w:p>
      <w:pPr>
        <w:spacing w:after="0" w:line="117" w:lineRule="exact"/>
        <w:rPr>
          <w:sz w:val="20"/>
          <w:szCs w:val="20"/>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 million higher Income tax expense due to an $8.6 million higher deferred state income tax benefit recognized in the prior year’s period related to a change in state apportionment rates when compared to the current year’s period. The increase was also driven by $5.1 million due to higher pre-tax income differences, $3.9 million due to lower amortization of excess accumulated deferred income taxes, and $2.1 million due to larger nondeductible executive compensation partially offset by $0.5 million due to other nontaxable and nondeductible items in the current period when compared to the prior year’s period.</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 million, or 7%, higher Depreciation and amortization expense reflecting a $788.2 million, or 7%, increase in gas plant in service since the corresponding period of 2025. The increase in plant was attributable to pipeline capacity reinforcement work, franchise requirements, scheduled pipe replacement activities, and new infrastructure. In addition, there was an increase of $7.8 million due to higher amortization related to regulatory account balances, which is offset in Operating margin. This increase was partially offset by a $5.8 million cumulative adjustment related to certain regulatory assets.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million lower Other income, which is net of other deductions, primarily driven by lower interest income earned on money market accounts of $8.0 million, lower net periodic benefit gain related to pension non-service components of $6.5 million, the absence of a prior year gain on the sale of certain miscellaneous assets of $1.6 million, and higher contributions to the Southwest Gas Foundation of $1.9 million primarily due to timing differences as the 2025 contribution was made in 2024. These decreases were partially offset by an increase in Equity AFUDC of $3.9 million related to the commencement of the Great Basin 2028 expansion project and $1.8 million higher COLI policies gains.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higher Taxes other than income taxes due primarily to increase in property taxes across all of Southwest Gas’ jurisdictions.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higher Operations and maintenance expense primarily due to increases in employee-related labor costs of $4.7 million, inclusive of a one-time incentive award of $2.1 million. These increases were partially offset by lower insurance cost of $4.1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$44.5 million higher Operating margin primarily driven by updated rates that better align with Southwest Gas’ cost of service and capital investments across California and Arizona adding approximately $35.9 million, of which approximately $23.4 million was attributable to the revenue recognized in connection with final approval of the California general rate case and related cost of capital proceedings. Also, there was a $7.8 million increase related to recovery on regulatory account balances, with a comparable increase in Depreciation and amortization expense, $6.1 million attributable to customer growth for all territories, and $1.5 million increase related to Arizona SIM. Partially offsetting these increases was a $4.7 million decrease attributable to the absence of recovery in the current period, as recovery under the Vintage Steel Pipeline Program was concluded during the first quarter of 2025.</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million lower Net interest deductions primarily due to lower over-collected PGA balances for Nevada when compared to the same period in 2025. Also contributing to the decrease was higher capitalization of borrowing costs related to debt AFUDC.</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60" w:type="dxa"/>
            <w:vAlign w:val="bottom"/>
          </w:tcPr>
          <w:p>
            <w:pPr>
              <w:spacing w:after="0"/>
              <w:rPr>
                <w:sz w:val="19"/>
                <w:szCs w:val="19"/>
                <w:color w:val="auto"/>
              </w:rPr>
            </w:pPr>
          </w:p>
        </w:tc>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2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September 30, 2026</w:t>
            </w:r>
          </w:p>
        </w:tc>
      </w:tr>
      <w:tr>
        <w:trPr>
          <w:trHeight w:val="965"/>
        </w:trPr>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Corporate and Administrative</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24"/>
                <w:szCs w:val="24"/>
                <w:color w:val="auto"/>
              </w:rPr>
            </w:pPr>
          </w:p>
        </w:tc>
        <w:tc>
          <w:tcPr>
            <w:tcW w:w="26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September 30,</w:t>
            </w:r>
          </w:p>
        </w:tc>
        <w:tc>
          <w:tcPr>
            <w:tcW w:w="920" w:type="dxa"/>
            <w:vAlign w:val="bottom"/>
            <w:tcBorders>
              <w:bottom w:val="single" w:sz="8" w:color="auto"/>
            </w:tcBorders>
          </w:tcPr>
          <w:p>
            <w:pPr>
              <w:spacing w:after="0"/>
              <w:rPr>
                <w:sz w:val="20"/>
                <w:szCs w:val="20"/>
                <w:color w:val="auto"/>
              </w:rPr>
            </w:pPr>
          </w:p>
        </w:tc>
      </w:tr>
      <w:tr>
        <w:trPr>
          <w:trHeight w:val="241"/>
        </w:trPr>
        <w:tc>
          <w:tcPr>
            <w:tcW w:w="52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57"/>
        </w:trPr>
        <w:tc>
          <w:tcPr>
            <w:tcW w:w="60" w:type="dxa"/>
            <w:vAlign w:val="bottom"/>
            <w:shd w:val="clear" w:color="auto" w:fill="CCEEFF"/>
          </w:tcPr>
          <w:p>
            <w:pPr>
              <w:spacing w:after="0"/>
              <w:rPr>
                <w:sz w:val="22"/>
                <w:szCs w:val="22"/>
                <w:color w:val="auto"/>
              </w:rPr>
            </w:pPr>
          </w:p>
        </w:tc>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(471)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1,497</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(65,041)</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September 30, 2026, net loss decreased by $9.6 million; the decrease was primarily due to:</w:t>
      </w:r>
    </w:p>
    <w:p>
      <w:pPr>
        <w:spacing w:after="0" w:line="117"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million higher Income tax benefit compared to an Income tax expense in the same period in 2025 primarily due to an $8.7 million deferred state income tax expense recognized in the prior year’s quarter related to a change in state apportionment rates. The decrease was partially offset by lower pre-tax loss differences in the current quarter when compared to the prior year’s quarter.</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lower Net interest deductions primarily driven by the repayment of the remaining $225.0 million term loan in the prior year’s quarter as well as the repayment of the previously outstanding balance on the revolving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lower Other income, which is net of other deductions, primarily driven by a decrease in interest income earned on money market accounts due to Southwest Gas Holdings investing in Southwest Gas for its capital plan.</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2026, net income improved by $66.5 million compared to a net loss in the same period in 2025; the improvement was primarily due to:</w:t>
      </w:r>
    </w:p>
    <w:p>
      <w:pPr>
        <w:spacing w:after="0" w:line="54"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 million lower Income tax expense due to a $47.9 million deferred state income tax expense recognized in the prior year’s period related to a change in state apportionment. The decrease was partially offset by higher pre-tax income differences in the current period when compared to the prior year’s period and changes to state net operating losses to reflect expected utilization.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million lower Net interest deductions primarily driven by the repayment of the $550.0 million term loan in the summer of 2025 as well as the decrease in the balance that was previously outstanding on the revolving credit facility.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higher Other income, which is net of other deductions, primarily driven by an increase in interest income earned on money market accounts.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2026, compared to the same period in 2025, the decrease in net gain of $266.3 million was primarily due to the gain recognized on the disposition of Centuri in the prior period and, to a lesser extent, the absence of its operating results in the current period.</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2026, compared to the same period in 2025, the decrease in net gain of $206.5 million was primarily due to the gain recognized on the disposition of Centuri in the prior period and, to a lesser extent, the absence of its operating results in the current period.</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60" w:type="dxa"/>
            <w:vAlign w:val="bottom"/>
          </w:tcPr>
          <w:p>
            <w:pPr>
              <w:spacing w:after="0"/>
              <w:rPr>
                <w:sz w:val="19"/>
                <w:szCs w:val="19"/>
                <w:color w:val="auto"/>
              </w:rPr>
            </w:pPr>
          </w:p>
        </w:tc>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965"/>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Results of Southwest Gas Corporation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64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6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1,241,456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1,461,745</w:t>
            </w:r>
          </w:p>
        </w:tc>
      </w:tr>
      <w:tr>
        <w:trPr>
          <w:trHeight w:val="243"/>
        </w:trPr>
        <w:tc>
          <w:tcPr>
            <w:tcW w:w="64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429,398</w:t>
            </w:r>
          </w:p>
        </w:tc>
      </w:tr>
      <w:tr>
        <w:trPr>
          <w:trHeight w:val="236"/>
        </w:trPr>
        <w:tc>
          <w:tcPr>
            <w:tcW w:w="6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274,226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1,074,741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1,032,347</w:t>
            </w:r>
          </w:p>
        </w:tc>
      </w:tr>
      <w:tr>
        <w:trPr>
          <w:trHeight w:val="243"/>
        </w:trPr>
        <w:tc>
          <w:tcPr>
            <w:tcW w:w="6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399,867</w:t>
            </w:r>
          </w:p>
        </w:tc>
      </w:tr>
      <w:tr>
        <w:trPr>
          <w:trHeight w:val="243"/>
        </w:trPr>
        <w:tc>
          <w:tcPr>
            <w:tcW w:w="6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241,703</w:t>
            </w:r>
          </w:p>
        </w:tc>
      </w:tr>
      <w:tr>
        <w:trPr>
          <w:trHeight w:val="243"/>
        </w:trPr>
        <w:tc>
          <w:tcPr>
            <w:tcW w:w="64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70,379</w:t>
            </w:r>
          </w:p>
        </w:tc>
      </w:tr>
      <w:tr>
        <w:trPr>
          <w:trHeight w:val="237"/>
        </w:trPr>
        <w:tc>
          <w:tcPr>
            <w:tcW w:w="6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320,398</w:t>
            </w:r>
          </w:p>
        </w:tc>
      </w:tr>
      <w:tr>
        <w:trPr>
          <w:trHeight w:val="243"/>
        </w:trPr>
        <w:tc>
          <w:tcPr>
            <w:tcW w:w="6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40,385</w:t>
            </w:r>
          </w:p>
        </w:tc>
      </w:tr>
      <w:tr>
        <w:trPr>
          <w:trHeight w:val="243"/>
        </w:trPr>
        <w:tc>
          <w:tcPr>
            <w:tcW w:w="6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41,253</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135,524</w:t>
            </w:r>
          </w:p>
        </w:tc>
      </w:tr>
      <w:tr>
        <w:trPr>
          <w:trHeight w:val="237"/>
        </w:trPr>
        <w:tc>
          <w:tcPr>
            <w:tcW w:w="60" w:type="dxa"/>
            <w:vAlign w:val="bottom"/>
          </w:tcPr>
          <w:p>
            <w:pPr>
              <w:spacing w:after="0"/>
              <w:rPr>
                <w:sz w:val="20"/>
                <w:szCs w:val="20"/>
                <w:color w:val="auto"/>
              </w:rPr>
            </w:pPr>
          </w:p>
        </w:tc>
        <w:tc>
          <w:tcPr>
            <w:tcW w:w="6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225,259</w:t>
            </w:r>
          </w:p>
        </w:tc>
      </w:tr>
      <w:tr>
        <w:trPr>
          <w:trHeight w:val="243"/>
        </w:trPr>
        <w:tc>
          <w:tcPr>
            <w:tcW w:w="6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30,675</w:t>
            </w:r>
          </w:p>
        </w:tc>
      </w:tr>
      <w:tr>
        <w:trPr>
          <w:trHeight w:val="237"/>
        </w:trPr>
        <w:tc>
          <w:tcPr>
            <w:tcW w:w="60" w:type="dxa"/>
            <w:vAlign w:val="bottom"/>
          </w:tcPr>
          <w:p>
            <w:pPr>
              <w:spacing w:after="0"/>
              <w:rPr>
                <w:sz w:val="20"/>
                <w:szCs w:val="20"/>
                <w:color w:val="auto"/>
              </w:rPr>
            </w:pPr>
          </w:p>
        </w:tc>
        <w:tc>
          <w:tcPr>
            <w:tcW w:w="6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191,782</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194,584</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2026, compared to the same period in 2025, the increase in net income of $6.9 million was consistent with the Natural Gas Distribution segment.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nine months ended September 30, 2026, compared to the same period in 2025, the decrease in net income of $2.8 million was consistent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Distribution segment except for:</w:t>
      </w:r>
    </w:p>
    <w:p>
      <w:pPr>
        <w:spacing w:after="0" w:line="99" w:lineRule="exact"/>
        <w:rPr>
          <w:sz w:val="20"/>
          <w:szCs w:val="20"/>
          <w:color w:val="auto"/>
        </w:rPr>
      </w:pPr>
    </w:p>
    <w:p>
      <w:pPr>
        <w:jc w:val="both"/>
        <w:ind w:left="660" w:hanging="328"/>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$42.4 million higher Operating margin consistent with the Natural Gas Distribution segment explanation combined with a decrease in Operating margin of $2.1 million due to revisions. See </w:t>
      </w:r>
      <w:r>
        <w:rPr>
          <w:rFonts w:ascii="Times New Roman" w:cs="Times New Roman" w:eastAsia="Times New Roman" w:hAnsi="Times New Roman"/>
          <w:sz w:val="18"/>
          <w:szCs w:val="18"/>
          <w:b w:val="1"/>
          <w:bCs w:val="1"/>
          <w:color w:val="auto"/>
        </w:rPr>
        <w:t>Note 6 - Previously Issued Condensed Consolidated Financial Statements</w:t>
      </w:r>
      <w:r>
        <w:rPr>
          <w:rFonts w:ascii="Times New Roman" w:cs="Times New Roman" w:eastAsia="Times New Roman" w:hAnsi="Times New Roman"/>
          <w:sz w:val="18"/>
          <w:szCs w:val="18"/>
          <w:color w:val="auto"/>
        </w:rPr>
        <w:t xml:space="preserve"> for additional information.</w:t>
      </w:r>
    </w:p>
    <w:p>
      <w:pPr>
        <w:spacing w:after="0" w:line="1"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 million higher Income tax expense consistent with the Natural Gas Distribution segment explanation combined with a decrease in income taxes of $2.4 million related to the prior year adjustments described in our 2025 Annual Report on Form 10-K.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Rates and Regulatory Proceedings</w:t>
      </w:r>
    </w:p>
    <w:p>
      <w:pPr>
        <w:spacing w:after="0" w:line="121"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Southwest Gas operates in a regulated environment across Arizona, Nevada, and California subject to the regulation of the ACC, the PUCN, and the CPUC, respectively, and through interstate pipeline operations at two of Southwest Gas’ subsidiaries that are subject to regulation by the FERC. Regulatory proceedings generally endeavor to allow for the timely recovery of infrastructure investments, reducing regulatory lag, and managing the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flow impacts of natural gas price volatility. While mechanisms vary by jurisdiction, they are generally designed to stabilize earnings and primarily affect the timing of cash flows, rather than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returns.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Arizona Overview. </w:t>
      </w:r>
      <w:r>
        <w:rPr>
          <w:rFonts w:ascii="Times New Roman" w:cs="Times New Roman" w:eastAsia="Times New Roman" w:hAnsi="Times New Roman"/>
          <w:sz w:val="18"/>
          <w:szCs w:val="18"/>
          <w:color w:val="auto"/>
        </w:rPr>
        <w:t>Arizona is Southwest Gas’ largest contributor to Operating margin. Regulatory frameworks in the state emphasize decoupled rate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targeted mechanisms that support infrastructure investment while reducing earnings volatility.</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On February 27, 2026, Southwest Gas filed a general rate case application seeking an increase of approximately $101.0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10.4%, of incremental annual revenues, to reflect infrastructure investments and operating costs through November 30, 2025, with a requested twelve-month post-test year adjustment for non-revenue producing plant. The filing requests a return on common equity of 10.25% and a fair value increment of 0.20% based on an actual equity layer of 50.08% and maintains Arizona’s existing decoupled rate design and existing basic service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application also proposes a formula-based RAM, which is an annual adjustment intended to reduce regulatory lag by more closely aligning customer rates with Southwest Gas’ actual cost of service and authorized returns between rate cases. The proposed RAM contemplates an approved formula to adjust customer rates based on Southwest Gas’ earned return on common equity compared with its authorized return on common equity, subject to a Deadband. Approval of the RAM would eliminate the need for certain existing regulatory tracker mechanisms, including the TEAM and the SIM. New rates from this filing are expected to become effective by April 2027, subject to regulatory approval. Staff filed testimony recommending a $58.2 million revenue increase based on a 9.75% return on equity with a 0.20% fair value increment or alternatively, a $53.7 million revenue increase with no fair value increment. Staff supports the implementation of the RAM, signaling support for a return on equity at the lower end of its recommended reasonable range of 9.5% - 9.75% should the Commission adopt the RAM.</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Existing rates are the result of Southwest Gas’ 2024 rate case application filed in February 2024. The ACC’s final decision was approved and implemented in March 2025, authorizing an overall annual rate increase of approximately $80.2 million and a return on common equity of 9.84% relative to a 48.5% equity ratio.</w:t>
      </w:r>
    </w:p>
    <w:p>
      <w:pPr>
        <w:spacing w:after="0" w:line="6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Arizona Regulatory Mechanisms</w:t>
      </w:r>
      <w:r>
        <w:rPr>
          <w:rFonts w:ascii="Times New Roman" w:cs="Times New Roman" w:eastAsia="Times New Roman" w:hAnsi="Times New Roman"/>
          <w:sz w:val="18"/>
          <w:szCs w:val="18"/>
          <w:color w:val="auto"/>
        </w:rPr>
        <w:t>. Southwest Gas uses several regulatory mechanisms in Arizona to address timing differences between costs incurred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recovery through base rates:</w:t>
      </w:r>
    </w:p>
    <w:p>
      <w:pPr>
        <w:spacing w:after="0" w:line="39" w:lineRule="exact"/>
        <w:rPr>
          <w:sz w:val="20"/>
          <w:szCs w:val="20"/>
          <w:color w:val="auto"/>
        </w:rPr>
      </w:pPr>
    </w:p>
    <w:p>
      <w:pPr>
        <w:jc w:val="both"/>
        <w:ind w:left="660" w:hanging="328"/>
        <w:spacing w:after="0" w:line="25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SIM supports the recovery of eligible non-revenue-producing infrastructure investments related to safety, code compliance, and system integrity. Recovery through the SIM is subject to an annual investment cap of $50.0 million, with surcharge updates occurring annually. The first SIM surcharge application for the recovery of SIM eligible projects completed in 2025 was filed March 2026, with rates effective April 1, 2026, subject to refund. The ACC approved the SIM surcharge as filed by Southwest Gas in June 2026. In September 2025, Southwest Gas filed its 2026 Project Plan reflecting SIM eligible projects scheduled to be completed in 2026 along with its Notice of Intent to file a March 2027 SIM surcharge application. Southwest Gas filed its 2027 Project Plan reflecting SIM eligible projects scheduled to be completed in 2027, along with its Notice of Intent to file a March 2028 SIM surcharge application in September 2026.</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DCA is Arizona’s margin decoupling mechanism and removes the direct relationship between volumes sold and earned revenues. Annual DCA filings return or recover over- or under-collected authorized margins. In August 2025, the ACC approved Southwest Gas’ 2025 DCA application, as filed, to recover the under-collected balance as of March 31, 2025, of approximately $40.7 million, which is expected to be recovered over 12 months from the time rates become effective. Southwest Gas’ most recent filing of the DCA Annual Report was made in April 2026, requesting recovery of the under-collected balance of $107.5 million existing as of March 31, 2026. To mitigate impact on customer bills, Southwest Gas proposed to calculate the DCA rates based on an extended 15-month period, seasonally adjusted, with a higher rate applicable in the summer season of May through October and a lower rate applicable in the winter season of November through April. The ACC approved Southwest Gas’ application with a minor modification to the seasonal rates as proposed to recover the $107.5 million under-collected balance.</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27, 2025, Southwest Gas filed a proposed modification to the PGA mechanism to increase the GCBA rate to allow for a greater credit rate to be implemented than otherwise allowed under existing GCBA framework to facilitate the more timely return of the existing over-collected balance to customers. The ACC approved Southwest Gas’ request to implement a credit rate of $0.08138 per therm effective the first quarter 2025, requiring that the credit rate will terminate when the GCBA balance is reduced to less than $10.0 million. In April 2026, in response to the continued over-collected GCBA balance, Southwest Gas filed a new application with the ACC to increase the applicable Deadband within which Southwest Gas may adjust the GCBA rate from the currently authorized 10 cents per therm to a proposed 20 cents per therm with a requested effective date of August 2026 to continue the more timely return of the over-collected balance to customers. In August 2026, the ACC modified</w:t>
      </w:r>
    </w:p>
    <w:p>
      <w:pPr>
        <w:spacing w:after="0" w:line="1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approved Southwest Gas’ application. The currently effective GCBA credit rate of $0.08138 per therm will remain in place through October 2026 and will increase to a credit of $0.10000 in November 2026, $0.12000 in December 2026 through February 2027; then reducing to $0.10000 in March 2027, $0.08000 in April 2027 and zero in May 2027.</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TEAM allows for rate adjustments related to changes in income tax-related revenue requirements resulting from federal or state tax legislation and returns/recovers the revenue requirement impact of changes in amortization of EADIT, including that which resulted from the 2017 Tax Cuts and Jobs Act, between general rate cases. The prior surcharge rate was designed to recover approximately $5.2 million resulting from changes related to the amortization of EADIT was approved and became effective June 1, 2025. These amounts were recovered through May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December 2025, Southwest Gas filed its most recent TEAM rate application seeking authority to recover $0.7 million, which includes the current-year TEAM adjustment of approximately $7.9 million, primarily offset by the impact of Southwest Gas’ election of the natural gas safe harbor tax method of accounting for determining whether certain natural gas repair and maintenance expenditures are capitalized or expensed for income tax purposes. As a result of this accounting method change, approximately $27.1 million of EADIT associated with historic tax repairs shifts from protected treatment amortized under the Average Rate Assumption Method to unprotected treatment. Southwest Gas proposed the amortization of the $27.1 million in unprotected EADIT over a five-year period, consistent with the approximate remaining amortization period of the unprotected EADIT established in Southwest Gas’ 2019 general rate case. The application was approved in February 2026, as filed, with a rate effective date of June 1, 2026.</w:t>
      </w:r>
    </w:p>
    <w:p>
      <w:pPr>
        <w:spacing w:after="0" w:line="84" w:lineRule="exact"/>
        <w:rPr>
          <w:sz w:val="20"/>
          <w:szCs w:val="20"/>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COYL program was discontinued in Southwest Gas’ most recent Arizona rate case; however, an application was filed in June 2025 requesting recovery of the associated outstanding revenue requirement of approximately $5.2 million for work completed through March 2025. Recovery of the outstanding COYL revenue requirement over three years was approved by the ACC as requested in September 2025.</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Collectively, these mechanisms primarily affect the timing of cash flows and are intended to reduce earnings volatility rather than impact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returns.</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Arizona Affiliate Rules Waiver</w:t>
      </w:r>
      <w:r>
        <w:rPr>
          <w:rFonts w:ascii="Times New Roman" w:cs="Times New Roman" w:eastAsia="Times New Roman" w:hAnsi="Times New Roman"/>
          <w:sz w:val="18"/>
          <w:szCs w:val="18"/>
          <w:color w:val="auto"/>
        </w:rPr>
        <w:t>. In February 2026, Southwest Gas filed an application with the ACC seeking a waiver of certain affiliate rules to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Southwest Gas Holdings and Southwest Gas to issue financing to Great Basin for the 2028 expansion project. On April 8, 2026, the ACC approved the limited waiver for a period of three years and a $1.7 billion cap on the investment in the 2028 expansion project. Southwest Gas is required to seek a modification to the ACC’s final decision if the project costs are anticipated to exceed this amount.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Nevada Overview</w:t>
      </w:r>
      <w:r>
        <w:rPr>
          <w:rFonts w:ascii="Times New Roman" w:cs="Times New Roman" w:eastAsia="Times New Roman" w:hAnsi="Times New Roman"/>
          <w:sz w:val="18"/>
          <w:szCs w:val="18"/>
          <w:color w:val="auto"/>
        </w:rPr>
        <w:t>. Nevada contributes approximately 34% to Southwest Gas’ Operating margin. In Nevada, regulatory frameworks in the state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decoupled rate design and targeted mechanisms that support infrastructure investment while reducing earnings volatility.</w:t>
      </w:r>
    </w:p>
    <w:p>
      <w:pPr>
        <w:spacing w:after="0" w:line="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Nevada General Rate Case. </w:t>
      </w:r>
      <w:r>
        <w:rPr>
          <w:rFonts w:ascii="Times New Roman" w:cs="Times New Roman" w:eastAsia="Times New Roman" w:hAnsi="Times New Roman"/>
          <w:sz w:val="18"/>
          <w:szCs w:val="18"/>
          <w:color w:val="auto"/>
        </w:rPr>
        <w:t>On March 18, 2026, Southwest Gas filed a general rate case application with the PUCN, seeking an increase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$71.3 million, or 10.8% of incremental annual revenues to reflect infrastructure investments and operating costs through November 30, 2025. The initial request was updated to seek an increase of approximately $74.2 million, to update plant in service and adjust for known changes in labor and pension costs for the certification period ended May 31, 2026. The filing requested a 10.0% return on common equity and an actual equity layer of 51.35% at the end of the certification period and proposes to maintain the existing decoupled rate design and basic service charges along with the continuation of the regulatory accounting treatment approved in 2025 to track the actual costs incurred for line location expenses to the level of expense to be established in the general rate case. Following a hearing held in August 2026, the PUCN issued an order on October 14, 2026 maintaining the previously authorized 9.5% return on equity and approving the actual equity layer of 51.35%, as proposed, along with an approximately $47.8 million increase in incremental annual revenues with new rates effective in October 2026. The Commission's decision excluded approximately $50.0 million of Certification Plant from rate base. While excluded from rate base in this proceeding, the Commission did not determine that these costs were imprudent or unrecoverable. Accordingly, Southwest Gas filed a petition for reconsideration of this matter on October 28, 2026. The Commission will grant or deny the petition within 40 days after the date of filing; if no action is taken within that period, the petition will be deemed denied. If the petition is denied, Southwest Gas will request recovery of this in the next GRC or alternative ratemaking adjustment filing, subject to approval of an alternative ratemaking plan.</w:t>
      </w:r>
    </w:p>
    <w:p>
      <w:pPr>
        <w:spacing w:after="0" w:line="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Existing rates are the result of Southwest Gas’ 2023 Nevada general rate case application filed in September 2023 and updated with a certification filing primarily for plant placed in service, and incremental annual leak survey costs, through November 2023. Rates became effective in April 2024, authorizing an overall annual settled rate increase of approximately $59.1 million and a return on common equity of 9.5% relative to a target 50.0% equity ratio. Included in the settled items were a continuation of full revenue decoupling; authority to continue tracking incremental annual leak survey costs in a regulatory asset; and refreshed depreciation rates.</w:t>
      </w:r>
    </w:p>
    <w:p>
      <w:pPr>
        <w:spacing w:after="0" w:line="6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Purchased Gas and Cost Recovery Mechanisms. </w:t>
      </w:r>
      <w:r>
        <w:rPr>
          <w:rFonts w:ascii="Times New Roman" w:cs="Times New Roman" w:eastAsia="Times New Roman" w:hAnsi="Times New Roman"/>
          <w:sz w:val="18"/>
          <w:szCs w:val="18"/>
          <w:color w:val="auto"/>
        </w:rPr>
        <w:t>Southwest Gas uses several regulatory mechanisms in Nevada to address timing differences between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and recovery through base rates:</w:t>
      </w:r>
    </w:p>
    <w:p>
      <w:pPr>
        <w:spacing w:after="0" w:line="39" w:lineRule="exact"/>
        <w:rPr>
          <w:sz w:val="20"/>
          <w:szCs w:val="20"/>
          <w:color w:val="auto"/>
        </w:rPr>
      </w:pPr>
    </w:p>
    <w:p>
      <w:pPr>
        <w:jc w:val="both"/>
        <w:ind w:left="660" w:hanging="328"/>
        <w:spacing w:after="0" w:line="24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 serves as Nevada’s margin decoupling mechanism and is updated through the ARA application. Updated rates for the GRA and other regulatory mechanisms were included in the 2025 ARA application filed in November 2025 requesting to adjust the GRA rates to recover the approximate $28.2 million balance as of September 30, 2025. In May 2026, the PUCN approved an all-party settlement recommending approval of the application was filed, with rates effective July 1, 2026.</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DEAA currently facilitates the return of previously over-collected purchased gas costs to customers and serves as the mechanism to collect under-collected purchased gas costs from customers. The implementation of a DEAA credit of $0.20000 per therm applicable to southern Nevada customers and a credit of $0.25000 per therm applicable to northern Nevada customers became effective July 1, 2025. Subsequent quarterly adjustments, including those in October 2025, January 2026, April 2026, and July 2026 have been calculated consistently with the statutory rate cap of 2.5 cents per quarter, resulting in an increased credit rate of $0.30000 in southern Nevada and $0.35000 in northern Nevada, as of July 1, 2026. The over-collected PGA balance that existed at December 31, 2025, has been reduced to an over-collected balance of approximately $163.5 million and $25.2 million in southern and northern Nevada, respectively, at September 30, 2026. The most recent modification of the DEAA is expected to impact near-term liquidity at Southwest Gas when compared to earlier projections over 2025-2026 while modestly reducing interest expense on a net basis.</w:t>
      </w:r>
    </w:p>
    <w:p>
      <w:pPr>
        <w:spacing w:after="0" w:line="7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Line Locate Activity Expenses Application</w:t>
      </w:r>
      <w:r>
        <w:rPr>
          <w:rFonts w:ascii="Times New Roman" w:cs="Times New Roman" w:eastAsia="Times New Roman" w:hAnsi="Times New Roman"/>
          <w:sz w:val="18"/>
          <w:szCs w:val="18"/>
          <w:color w:val="auto"/>
        </w:rPr>
        <w:t>. In January 2025, Southwest Gas filed an application with the PUCN for authority to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accounting treatment for line locate activity expenses, allowing Southwest Gas to track the actual level of line locate costs in operation and maintenance expense and to record, in a regulatory asset or liability account, the difference between amounts incurred and the level established in the most recently concluded general rate case. In July 2025, the PUCN approved regulatory accounting treatment beginning January 1, 2025. The proposal did not include carrying charges on the regulatory account balance in order to focus solely on stemming the financial attrition experienced in between rate cases related to this work. The approximate $2.4 million deferred regulatory assets included for consideration in the recently filed general rate case along with the continuation of the regulatory accounting treatment was approved.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mechanisms primarily affect the timing of cash flows and are intended to reduce earnings volatility rather than impact long-term returns.</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Resource Plan</w:t>
      </w:r>
      <w:r>
        <w:rPr>
          <w:rFonts w:ascii="Times New Roman" w:cs="Times New Roman" w:eastAsia="Times New Roman" w:hAnsi="Times New Roman"/>
          <w:sz w:val="18"/>
          <w:szCs w:val="18"/>
          <w:color w:val="auto"/>
        </w:rPr>
        <w:t>. In April 2026, Southwest Gas received approval of its first triennial resource plan, filed in September 2025, pursuant to SB 281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Southwest Gas received a determination of prudency for approximately $186.7 million of certain significant operational or capital requirements, as defined by SB 281, during the 2026-2028 action plan period, including safety-related and system integrity management investments in southern and northern Nevada, and a proposal to commence a vintage 1984/1985 pipe replacement program in southern Nevada. The PUCN also approved the approximate $4.8 million investment over the action plan period in two new safety-related programs (the natural gas alarm pilot program and the meter protection program), including authority to establish regulatory accounting for the natural gas alarm pilot program. The natural gas alarm pilot program proposed the purchase and installation of approximately 10,000 natural gas alarms in high occupancy facilities across Southwest Gas’ southern and northern Nevada service territories. The meter protection program proposed the purchase and installation of meter snow shelters to enhance the protection of existing meters in heavy snow load areas in Southwest Gas’ northern Nevada service territory around Lake Tahoe. Southwest Gas received approval to continue its currently authorized COYL replacement program, including the annual statewide capital investment amount of $5.0 million, and associated regulatory accounting treatment beyond the current program sunset date of July 30, 2027, through the end of 2028. Southwest Gas’ customer demand forecasting methodology for the applicable three-year action plan period was approved. With respect to gas resources, the PUCN authorized a modification of Southwest Gas’ currently authorized price cap of $14/dekatherm to $18/dekatherm for RNG purchases to better align with evolving RNG market conditions and to extend its current contract term length and purchasing authority for RNG beyond the currently approved date of December 31, 2029.</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also received authority to purchase responsibly sourced gas, in the form of carbon capture and storage-enabled natural gas, for incorporation into Southwest Gas’ gas supply portfolio to meet up to 5% of its normal weather demand in northern and southern Nevada. Finally, Southwest Gas received approval of a demand-side management plan and proposed activities and programs, with a total statewide budget of $7.2 million over the three-year action plan period, to promote energy efficiency and conservation.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California Overview</w:t>
      </w:r>
      <w:r>
        <w:rPr>
          <w:rFonts w:ascii="Times New Roman" w:cs="Times New Roman" w:eastAsia="Times New Roman" w:hAnsi="Times New Roman"/>
          <w:sz w:val="18"/>
          <w:szCs w:val="18"/>
          <w:color w:val="auto"/>
        </w:rPr>
        <w:t>. California contributes approximately 14% to Southwest Gas’ Operating margin. Regulatory frameworks in the state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decoupled rate design and a future test year with annual attrition adjustments that support infrastructure investment while reducing earnings volatility.</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California General Rate Case. </w:t>
      </w:r>
      <w:r>
        <w:rPr>
          <w:rFonts w:ascii="Times New Roman" w:cs="Times New Roman" w:eastAsia="Times New Roman" w:hAnsi="Times New Roman"/>
          <w:sz w:val="18"/>
          <w:szCs w:val="18"/>
          <w:color w:val="auto"/>
        </w:rPr>
        <w:t>Southwest Gas filed its most recent general rate case in September 2024 seeking refreshed rates effective in January 2026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infrastructure investments and updated operating costs. The CPUC issued a decision in May 2026 approving the All-Party Settlement filed in September 2025 agreeing to a revenue increase of $39.5 million, before consideration of the litigated capital structure and cost of capital. Following the issuance of the decision, Southwest Gas requested approval to implement rates based on the $39.5 million settlement effective July 1, 2026, pending the issuance of the</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final decision resolving the outstanding cost of capital-related issues. The CPUC approved Southwest Gas’ request, and customers began to see the impacts to rates on July 1, 2026. In June 2026, the Administrative Law Judge issued a proposed decision addressing the outstanding capital structure and cost of capital, recommending approval of a 10.0% return on equity and Southwest Gas’ proposed 50.0% equity layer. Southwest Gas filed comments with the CPUC requesting reconsideration of the proposed 10.0% return on equity given the approved settlement supporting the continuation of the ATM in place to adjust the return on equity in response to market conditions. The CPUC approved a 10.0% return on equity relative to a 50.0% equity layer in its August 2026 final decision, along with a modification to set the adjustment factor for the ATM to 20.0% of the change in interest rates from the previously effective 50.0%, resulting in a final revenue increase of $32.6 million. The CPUC previously granted Southwest Gas’ motion seeking authority to establish a general rate case memorandum account effective January 1, 2026, through the effective date of the CPUC’s final decision allowing Southwest Gas to track changes in the revenue requirement beginning January 1, 2026.</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Financing Application</w:t>
      </w:r>
      <w:r>
        <w:rPr>
          <w:rFonts w:ascii="Times New Roman" w:cs="Times New Roman" w:eastAsia="Times New Roman" w:hAnsi="Times New Roman"/>
          <w:sz w:val="18"/>
          <w:szCs w:val="18"/>
          <w:color w:val="auto"/>
        </w:rPr>
        <w:t>. Southwest Gas filed an application with the CPUC in February 2026 seeking incremental financing authority to issue or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debt securities in an amount not to exceed approximately $1.15 billion, and the application of such proceeds through the five-year period ending December 31, 2030, to facilitate funding for the Great Basin 2028 expansion project. The incremental increase will bring the total authorized debt to $2.1 billion. The CPUC approved Southwest Gas’ financing application, as filed, on July 2,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Great Basin Overview. </w:t>
      </w:r>
      <w:r>
        <w:rPr>
          <w:rFonts w:ascii="Times New Roman" w:cs="Times New Roman" w:eastAsia="Times New Roman" w:hAnsi="Times New Roman"/>
          <w:sz w:val="18"/>
          <w:szCs w:val="18"/>
          <w:color w:val="auto"/>
        </w:rPr>
        <w:t>Great Basin, a wholly owned subsidiary of Southwest Gas, is regulated by the FERC. A general rate case settlement approved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provided an increase of $9.6 million, reflecting an approved increase in rate base to approximately $191.0 million, a 41.0% increase over the amount previously authorized. Rates became effective in April 2025, reflecting a calculated 9.76% pre-tax rate of return, compared with the requested return on common equity of 11.95% relative to a 50.0% equity ratio.</w:t>
      </w:r>
    </w:p>
    <w:p>
      <w:pPr>
        <w:spacing w:after="0" w:line="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Great Basin 2028 Expansion Project</w:t>
      </w:r>
      <w:r>
        <w:rPr>
          <w:rFonts w:ascii="Times New Roman" w:cs="Times New Roman" w:eastAsia="Times New Roman" w:hAnsi="Times New Roman"/>
          <w:sz w:val="18"/>
          <w:szCs w:val="18"/>
          <w:color w:val="auto"/>
        </w:rPr>
        <w:t>. In response to shipper inquiries regarding available capacity and evolving market needs, Great Basin conducted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binding open seasons in 2025 for a planned 2028 system expansion. The open seasons identified potential incremental demand of up to ~1.76 Bcf/d and allowed existing and prospective shippers to evaluate capacity needs, alternative in-service dates, and the scope of the expansion project to support growing energy demand in northern Nevada. In December 2025, precedent agreements were executed with shippers to accommodate capacity requests totaling approximately 800 million cubic feet per day with an estimated potential capital investment of approximately $1.7 billion in the next three years with an expected in-service date of late 2028.</w:t>
      </w:r>
    </w:p>
    <w:p>
      <w:pPr>
        <w:spacing w:after="0" w:line="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 Binding Open Season was issued on April 15, 2026, for available capacity in the 2028 expansion project following the evaluation of the system configuration and requirements necessary to meet the demand of the current project shippers. The open season offered the remaining available capacity, in excess of approximately 0.6 Bcf/d of currently contracted expansion capacity. As a result of demand received, precedent agreements were signed for just under 1 Bcf/d for the Great Basin 2028 expansion project with an expected in-service date of late 2028. This could increase capital investment by approximately $0.6 billion above the current estimate of $1.7 billion over the next three years. Great Basin also received further expressions of incremental capacity interest for an additional 1.8 Bcf/d for future in-service dates beyond 2028, which will be included in potential future expansion projects.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rate schedules in all of Southwest Gas’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Gas result in over- or under-collections. Balances are recovered from, or refunded to, customers on an ongoing basis with interest. As of September 30, 2026, over-collections in Southwest Gas’ Arizona and Nevada service territories resulted in a liability of approximately $264.4 million and under-collections in California resulted in an asset balance of approximately $2.3 million on the Company’s and Southwest Gas’ Condensed Consolidated Balance Sheets. The over-collected balances in the table below reflect the impacts related to specific recovery rates under existing mechanisms, which have exceeded the cost of recent gas supply purchases by Southwest Gas.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Filings to change rates in accordance with PGA clauses are subject to audit by state regulatory commission staff. The operation of the mechanism in California is typically the most responsive to changes in gas supply costs, and maximum rate adjustments for the earlier build-up (positive or negative) apply to Nevada and Arizona; however, refer to the </w:t>
      </w:r>
      <w:r>
        <w:rPr>
          <w:rFonts w:ascii="Times New Roman" w:cs="Times New Roman" w:eastAsia="Times New Roman" w:hAnsi="Times New Roman"/>
          <w:sz w:val="18"/>
          <w:szCs w:val="18"/>
          <w:i w:val="1"/>
          <w:iCs w:val="1"/>
          <w:color w:val="auto"/>
        </w:rPr>
        <w:t>Arizona Regulatory Mechanisms</w:t>
      </w:r>
      <w:r>
        <w:rPr>
          <w:rFonts w:ascii="Times New Roman" w:cs="Times New Roman" w:eastAsia="Times New Roman" w:hAnsi="Times New Roman"/>
          <w:sz w:val="18"/>
          <w:szCs w:val="18"/>
          <w:color w:val="auto"/>
        </w:rPr>
        <w:t xml:space="preserve"> discussion above related to Arizona and the </w:t>
      </w:r>
      <w:r>
        <w:rPr>
          <w:rFonts w:ascii="Times New Roman" w:cs="Times New Roman" w:eastAsia="Times New Roman" w:hAnsi="Times New Roman"/>
          <w:sz w:val="18"/>
          <w:szCs w:val="18"/>
          <w:i w:val="1"/>
          <w:iCs w:val="1"/>
          <w:color w:val="auto"/>
        </w:rPr>
        <w:t>Purchased Gas and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Recovery Mechanisms </w:t>
      </w:r>
      <w:r>
        <w:rPr>
          <w:rFonts w:ascii="Times New Roman" w:cs="Times New Roman" w:eastAsia="Times New Roman" w:hAnsi="Times New Roman"/>
          <w:sz w:val="18"/>
          <w:szCs w:val="18"/>
          <w:color w:val="auto"/>
        </w:rPr>
        <w:t>in Nevada. PGA changes impact cash flows but have no direct impact on Operating margin. However, gas cost deferrals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recoveries can impact comparisons between periods of individual consolidated income statement components. These include Regulated operations revenues, Net cost of gas sold, Net interest deductions, and Other income (deductions).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Southwest Gas’ outstanding PGA, including accrued purchased gas costs, balances receivable/(payable):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30, 2026</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36"/>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(84,149)</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(73,717)</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(282,741)</w:t>
            </w: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6"/>
        </w:trPr>
        <w:tc>
          <w:tcPr>
            <w:tcW w:w="46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(262,026)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(304,871)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(356,359)</w:t>
            </w:r>
          </w:p>
        </w:tc>
      </w:tr>
      <w:tr>
        <w:trPr>
          <w:trHeight w:val="21"/>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cash on hand and cash flows from operations, and periodically the issuances of debt and equity, have provided a substantial portion of cash used in investing activities (primarily construction expenditures and property additions). In recent years, Southwest Gas has undertaken substantial pipe replacement activities to fortify system integrity and reliability, including on an accelerated basis in association with certain gas infrastructure replacement programs. Southwest Gas Holdings and Southwest Gas’ capitalization strategy is to maintain an appropriate balance of equity and debt to preserve investment-grade credit ratings, which helps minimize interest costs. Investment-grade credit ratings have been maintained by Southwest Gas Holdings and Southwest Gas.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decreased $90.9 million in the first nine months of 2026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2025. The decrease was primarily due to a $125.5 million reduction in cash flow from continuing operations, which reflects the transition from prior period when recovery rates resulted in collections that exceeded actual purchased gas costs. As a result, the current period includes the reimbursement of this excess recovery to customers. The remaining difference reflects the impacts of changes in other components of working capital overall. Partially offsetting this decrease was a $34.6 million increase in operating cash flows from discontinued operations. The increase was mainly attributable to the absence of Centuri in the current period following the completion of its disposition.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flows used in investing activities increased $1.0 billion in the first nine months of 2026 compared to the same period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was primarily due to the absence of $776.7 million of cash flows provided by discontinued operations related to the Centuri separation in the current period following the completion of its disposition. Additionally, cash flows used in continuing operations increased by $229.8 million driven by the increased outflows for capital expenditures and property additions compared to 2025.</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flows used in financing activities decreased $159.2 million in the first nine months of 2026 compared to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decrease was primarily due to a $687.5 million reduction in cash flow from continuing operation, which reflects the absence of repayment of short-term debt and borrowings related to the short-term portion of the credit facility in the current period as compared to the same period in 2025. Partially offsetting this decrease was the absence of $528.3 million of cash flows provided by discontinued operations related to the Centuri separation in the current period following the completion of its disposition.</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Natural Gas Distribution segment is generally responsible for securing its own debt financing sources. However, Southwest Gas Holdings may raise funds through equity issuances or other external financing sources in support of our Natural Gas Distribution segment.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decreased approximately $41.2 million in the first nine months of 2026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2025. The decrease primarily reflects the transition from prior period when recovery rates resulted in collections that exceeded actual purchased gas costs. As a result, the current period includes the reimbursement of this excess recovery to customers. Partially offsetting this decrease was an increase from the settlement of receivable from parent which resulted from the tax benefit extended to Southwest Gas Holdings. The remaining difference reflects the impacts of changes in other components of working capital overall.</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increased $229.5 million in the first nine months of 2026 as compared to the same period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attributable to increased outflows for capital expenditures by $230.6 million between periods. See also </w:t>
      </w:r>
      <w:r>
        <w:rPr>
          <w:rFonts w:ascii="Times New Roman" w:cs="Times New Roman" w:eastAsia="Times New Roman" w:hAnsi="Times New Roman"/>
          <w:sz w:val="18"/>
          <w:szCs w:val="18"/>
          <w:i w:val="1"/>
          <w:iCs w:val="1"/>
          <w:color w:val="auto"/>
        </w:rPr>
        <w:t>Natural Gas Distribution Segment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Expenditures, Debt Maturities, and Financing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provided by financing activities increased $390.0 million in the first nine months of 2026 as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2025, primarily driven by the $280.0 million contribution from parent and a $96.0 million increase in commercial paper borrowings in the current period as compared to the same period in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 Capital Expenditures, Debt Maturities, and Financing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nine-month period ended September 30, 2026, capital expenditures (including accruals) for the Natural Gas Distribution segment were $787.2 million. These expenditures are associated with new construction and other general plant additions, including the Great Basin 2028 expansion project, in addition to the replacement of existing transmission and distribution pipeline facilities to fortify system integrity and reliability.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estimates capital expenditures during the five-year period ending December 31, 2030 will be approximately $6.3 billion. Of this amount, approximately $1.3 billion is expected to be incurred during calendar year 2026. Southwest Gas plans to continue to request regulatory support to undertake projects, or to accelerate projects as necessary for the improvement of system flexibility and reliability, or to expand, where relevant, to unserved or underserved areas. Southwest Gas may expand existing, or initiate new, programs. Significant replacement activities are expected to continue well beyond the next few years. See also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During that same five-year period, cash flows from operating activities of Southwest Gas are expected to provide approximately 60% of the funding for gas operations of Southwest Gas and total capital expenditures and dividend requirements. Any additional cash requirements, including construction-related, and any paydown or refinancing of debt, are expected to be provided by existing credit facilities, parent equity contributions,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regulatory mechanisms and programs, maturities of long-term debt instruments, as well as growth levels in Southwest Gas’ service areas and earnings. External financings may include the issuance of debt securities, bank and other short-term borrowings, and other forms of financing. For Southwest Gas, the 7.92% Series Medium-Term Note for $25.0 million matures in June 2027 and 6.76% Series Medium-Term Note for $7.5 million matures in September 2027.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considers, among other factors, projected capital requirements, the Company’s liquidity position and overall financial condition, the competitiveness of the dividend yield, economic conditions, equity dilution, and impacts on credit ratings. The Company has paid dividends on its common stock since 1956. In February 2026, the Board approved an increase to the quarterly dividend from $0.62 to $0.645 per share, effective with the June 2026 payment. No assurances can be provided on our future dividend payments, and the actual declarations of dividend payments remain at the discretion of the Board.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future years include: Variability of natural gas prices, changes in ratemaking policies of regulatory commissions, regulatory lag, customer growth in the Natural Gas Distribution segment, the ability to access and obtain capital from external sources, the level of interest rates, changes in income tax laws, pension funding requirements, inflation, the availability and cost of contract labor, supply chain constraints within the compression and steel pipe markets, and the level of earnings. Natural gas prices and related gas cost recovery rates, as well as plant investment and ratemaking activities, have historically had the most significant impact on liquidity, aside from the Company’s strategic undertakings, in the recent past, including acquisition and disposition activity.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an interim basis, Southwest Gas defers over- or under-collections of gas costs to PGA balancing accounts. In addition, Southwest Gas uses this mechanism to either refund amounts over-collected or recoup amounts under-collected as compared to the price paid for natural gas during the period since the last PGA rate change went into effect. At September 30, 2026, the PGA balance was an over-collection of $262.0 million and Southwest Gas’ Cash and cash equivalents balance of $46.6 million will be used to provide refunds to customers over future periods along with net cash provided by operating activities and its credit facilities. See </w:t>
      </w:r>
      <w:r>
        <w:rPr>
          <w:rFonts w:ascii="Times New Roman" w:cs="Times New Roman" w:eastAsia="Times New Roman" w:hAnsi="Times New Roman"/>
          <w:sz w:val="18"/>
          <w:szCs w:val="18"/>
          <w:b w:val="1"/>
          <w:bCs w:val="1"/>
          <w:color w:val="auto"/>
        </w:rPr>
        <w:t>PGA Filings</w:t>
      </w:r>
      <w:r>
        <w:rPr>
          <w:rFonts w:ascii="Times New Roman" w:cs="Times New Roman" w:eastAsia="Times New Roman" w:hAnsi="Times New Roman"/>
          <w:sz w:val="18"/>
          <w:szCs w:val="18"/>
          <w:color w:val="auto"/>
        </w:rPr>
        <w:t xml:space="preserve"> for more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has a $300.0 million revolving credit facility that matures in August 2029. This facility is intended for short-term financing needs.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there were no borrowings outstanding under this facility.</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has a revolving credit facility with a borrowing capacity of $400.0 million, which matures in August 2029. The credit facility has been used as necessary to meet liquidity requirements, including temporarily financing under-collected PGA balances, meeting the refund needs of over-collected balances, or temporarily funding capital expenditures. The credit facility has provided additional liquidity for Southwest Gas’ needs outside of funds raised through operations and other types of external financing.</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has a $100.0 million commercial paper program. In connection with its commercial paper program, Southwest Gas maintains undrawn borrowing capacity under its revolving credit facility equal to at least 100% of outstanding commercial paper. Interest rates for the commercial paper program are calculated at the current commercial paper rate during the borrowing term. At September 30, 2026, $96.0 million of commercial paper borrowings were outstanding and classified as long-term debt based on management’s intent and ability to refinance these obligations on a long-term basis.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capital investment required to execute the Great Basin 2028 expansion project, the Company and Southwest Gas expect to fund the project through a combination of financing sources, including proceeds from the Company's ATM program, future debt issuances, and cash generated from operating activities. Management believes these funding sources, together with existing liquidity resources and available credit capacity, will provide sufficient capital to support the project and ongoing operational and capital requirements.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Labor Relations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Gas and the Union representing certain Southern California employees entered into an agreement with an effective date of July 1, 2026. The agreement governs through February 28, 2029 and applies only to certain workers in Southwest Gas’ Southern California Division located in Victorville, California.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there have been no significant changes with regard to the critical accounting policies and estimates disclosed in the MD&amp;A in the Companies’ Annual Report on Form 10-K for the year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2025 Annual Report on Form 10-K filed with the SEC. No material changes have occurred related to the disclosures about market risk since December 31,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Southwest Gas Holdings and Southwest Gas has established disclosure controls and procedures (as defined in Rules 13a-15(e) and 15d-15(e) under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Chief Executive Officer and Chief Financial Officer, as appropriate, to allow timely decisions regarding required disclosures.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most recent evaluation, as of September 30, 2026, our Chief Executive Officer and Chief Financial Officer have concluded Southwest Gas Holdings’ and Southwest Gas’ disclosure controls and procedures were effective at attaining the level of reasonable assurance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Southwest Gas Holdings’ and Southwest Gas’ internal control over financial reporting (as defined in Rules 13a-15(f) and 15(d)-15(f) of the Exchange Act) during the third quarter of 2026 that have materially affected, or are likely to materially affect internal control over financial reporting.</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Southwest Gas are named as defendants in various legal proceedings. The ultimate dispositions of these proceedings are not presently determinable; however, it is the opinion of management that none of these legal proceedings individually or in the aggregate have had or will have a material adverse impact on the Company’s or Southwest Gas’ financial position or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color w:val="auto"/>
        </w:rPr>
        <w:t>As of September 30, 2026, there have been no material changes to the risk factors previously disclosed in response to “Part I - Item1A.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in our Annual Report on Form 10-K for the year ended December 31,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through 3.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MINE SAFETY DISCLOSURES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5(a) and 5(b).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ITEM 5(c). </w:t>
      </w:r>
      <w:r>
        <w:rPr>
          <w:rFonts w:ascii="Times New Roman" w:cs="Times New Roman" w:eastAsia="Times New Roman" w:hAnsi="Times New Roman"/>
          <w:sz w:val="18"/>
          <w:szCs w:val="18"/>
          <w:color w:val="auto"/>
        </w:rPr>
        <w:t>During the fiscal quarter ended September 30, 2026, none of our directors or officers (as defined in Rule 16a-1(f)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modified or terminated a “Rule 10b5-1 trading arrangement” or “non-Rule 10b5-1 trading arrangement,” as those terms are defined under Item 408 of Regulation S-K.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or furnished, as applicable, as part of this report on Form 10-Q:</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31.01#</w:t>
            </w:r>
          </w:p>
        </w:tc>
        <w:tc>
          <w:tcPr>
            <w:tcW w:w="4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302 Certifications–Southwest Gas Holdings, Inc.</w:t>
            </w:r>
          </w:p>
        </w:tc>
        <w:tc>
          <w:tcPr>
            <w:tcW w:w="4040" w:type="dxa"/>
            <w:vAlign w:val="bottom"/>
          </w:tcPr>
          <w:p>
            <w:pPr>
              <w:spacing w:after="0"/>
              <w:rPr>
                <w:sz w:val="17"/>
                <w:szCs w:val="17"/>
                <w:color w:val="auto"/>
              </w:rPr>
            </w:pPr>
          </w:p>
        </w:tc>
      </w:tr>
      <w:tr>
        <w:trPr>
          <w:trHeight w:val="27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31.02#</w:t>
            </w:r>
          </w:p>
        </w:tc>
        <w:tc>
          <w:tcPr>
            <w:tcW w:w="3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302 Certifications–Southwest Gas Corporation</w:t>
            </w:r>
          </w:p>
        </w:tc>
        <w:tc>
          <w:tcPr>
            <w:tcW w:w="4180" w:type="dxa"/>
            <w:vAlign w:val="bottom"/>
            <w:gridSpan w:val="2"/>
          </w:tcPr>
          <w:p>
            <w:pPr>
              <w:spacing w:after="0"/>
              <w:rPr>
                <w:sz w:val="24"/>
                <w:szCs w:val="24"/>
                <w:color w:val="auto"/>
              </w:rPr>
            </w:pPr>
          </w:p>
        </w:tc>
      </w:tr>
      <w:tr>
        <w:trPr>
          <w:trHeight w:val="27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32.01*</w:t>
            </w:r>
          </w:p>
        </w:tc>
        <w:tc>
          <w:tcPr>
            <w:tcW w:w="4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906 Certifications–Southwest Gas Holdings, Inc.</w:t>
            </w:r>
          </w:p>
        </w:tc>
        <w:tc>
          <w:tcPr>
            <w:tcW w:w="4040" w:type="dxa"/>
            <w:vAlign w:val="bottom"/>
          </w:tcPr>
          <w:p>
            <w:pPr>
              <w:spacing w:after="0"/>
              <w:rPr>
                <w:sz w:val="24"/>
                <w:szCs w:val="24"/>
                <w:color w:val="auto"/>
              </w:rPr>
            </w:pPr>
          </w:p>
        </w:tc>
      </w:tr>
      <w:tr>
        <w:trPr>
          <w:trHeight w:val="27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32.02*</w:t>
            </w: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Section 906 Certifications–Southwest Gas Corporation</w:t>
            </w:r>
          </w:p>
        </w:tc>
      </w:tr>
      <w:tr>
        <w:trPr>
          <w:trHeight w:val="20"/>
        </w:trPr>
        <w:tc>
          <w:tcPr>
            <w:tcW w:w="16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the Quarterly Report on Form 10-Q of Southwest Gas Holdings, Inc. and</w:t>
            </w:r>
          </w:p>
        </w:tc>
      </w:tr>
      <w:tr>
        <w:trPr>
          <w:trHeight w:val="184"/>
        </w:trPr>
        <w:tc>
          <w:tcPr>
            <w:tcW w:w="1620" w:type="dxa"/>
            <w:vAlign w:val="bottom"/>
          </w:tcPr>
          <w:p>
            <w:pPr>
              <w:spacing w:after="0"/>
              <w:rPr>
                <w:sz w:val="16"/>
                <w:szCs w:val="16"/>
                <w:color w:val="auto"/>
              </w:rPr>
            </w:pPr>
          </w:p>
        </w:tc>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Southwest Gas Corporation for the quarter ended September 30, 2026, were formatted in Inline XBRL</w:t>
            </w:r>
          </w:p>
        </w:tc>
      </w:tr>
      <w:tr>
        <w:trPr>
          <w:trHeight w:val="180"/>
        </w:trPr>
        <w:tc>
          <w:tcPr>
            <w:tcW w:w="1620" w:type="dxa"/>
            <w:vAlign w:val="bottom"/>
          </w:tcPr>
          <w:p>
            <w:pPr>
              <w:spacing w:after="0"/>
              <w:rPr>
                <w:sz w:val="15"/>
                <w:szCs w:val="15"/>
                <w:color w:val="auto"/>
              </w:rPr>
            </w:pPr>
          </w:p>
        </w:tc>
        <w:tc>
          <w:tcPr>
            <w:tcW w:w="816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(Extensible Business Reporting Language): (i) Southwest Gas Holdings, Inc. and Subsidiaries Condensed</w:t>
            </w:r>
          </w:p>
        </w:tc>
      </w:tr>
      <w:tr>
        <w:trPr>
          <w:trHeight w:val="175"/>
        </w:trPr>
        <w:tc>
          <w:tcPr>
            <w:tcW w:w="1620" w:type="dxa"/>
            <w:vAlign w:val="bottom"/>
          </w:tcPr>
          <w:p>
            <w:pPr>
              <w:spacing w:after="0"/>
              <w:rPr>
                <w:sz w:val="15"/>
                <w:szCs w:val="15"/>
                <w:color w:val="auto"/>
              </w:rPr>
            </w:pPr>
          </w:p>
        </w:tc>
        <w:tc>
          <w:tcPr>
            <w:tcW w:w="81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Consolidated Balance Sheets, (ii) Southwest Gas Holdings, Inc. and Subsidiaries Condensed Consolidated</w:t>
            </w:r>
          </w:p>
        </w:tc>
      </w:tr>
      <w:tr>
        <w:trPr>
          <w:trHeight w:val="184"/>
        </w:trPr>
        <w:tc>
          <w:tcPr>
            <w:tcW w:w="1620" w:type="dxa"/>
            <w:vAlign w:val="bottom"/>
          </w:tcPr>
          <w:p>
            <w:pPr>
              <w:spacing w:after="0"/>
              <w:rPr>
                <w:sz w:val="16"/>
                <w:szCs w:val="16"/>
                <w:color w:val="auto"/>
              </w:rPr>
            </w:pPr>
          </w:p>
        </w:tc>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Statements of Income, (iii) Southwest Gas Holdings, Inc. and Subsidiaries Condensed Consolidated Statements</w:t>
            </w:r>
          </w:p>
        </w:tc>
      </w:tr>
      <w:tr>
        <w:trPr>
          <w:trHeight w:val="180"/>
        </w:trPr>
        <w:tc>
          <w:tcPr>
            <w:tcW w:w="1620" w:type="dxa"/>
            <w:vAlign w:val="bottom"/>
          </w:tcPr>
          <w:p>
            <w:pPr>
              <w:spacing w:after="0"/>
              <w:rPr>
                <w:sz w:val="15"/>
                <w:szCs w:val="15"/>
                <w:color w:val="auto"/>
              </w:rPr>
            </w:pPr>
          </w:p>
        </w:tc>
        <w:tc>
          <w:tcPr>
            <w:tcW w:w="816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of Comprehensive Income, (iv) Southwest Gas Holdings, Inc. and Subsidiaries Condensed Consolidated</w:t>
            </w:r>
          </w:p>
        </w:tc>
      </w:tr>
      <w:tr>
        <w:trPr>
          <w:trHeight w:val="175"/>
        </w:trPr>
        <w:tc>
          <w:tcPr>
            <w:tcW w:w="1620" w:type="dxa"/>
            <w:vAlign w:val="bottom"/>
          </w:tcPr>
          <w:p>
            <w:pPr>
              <w:spacing w:after="0"/>
              <w:rPr>
                <w:sz w:val="15"/>
                <w:szCs w:val="15"/>
                <w:color w:val="auto"/>
              </w:rPr>
            </w:pPr>
          </w:p>
        </w:tc>
        <w:tc>
          <w:tcPr>
            <w:tcW w:w="81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Statements of Cash Flows, (v) Southwest Gas Holdings, Inc. and Subsidiaries Condensed Consolidated</w:t>
            </w:r>
          </w:p>
        </w:tc>
      </w:tr>
      <w:tr>
        <w:trPr>
          <w:trHeight w:val="184"/>
        </w:trPr>
        <w:tc>
          <w:tcPr>
            <w:tcW w:w="1620" w:type="dxa"/>
            <w:vAlign w:val="bottom"/>
          </w:tcPr>
          <w:p>
            <w:pPr>
              <w:spacing w:after="0"/>
              <w:rPr>
                <w:sz w:val="16"/>
                <w:szCs w:val="16"/>
                <w:color w:val="auto"/>
              </w:rPr>
            </w:pPr>
          </w:p>
        </w:tc>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w w:val="99"/>
              </w:rPr>
              <w:t>Statements of Equity, (vi) Southwest Gas Corporation and Subsidiaries Condensed Consolidated Balance Sheets,</w:t>
            </w:r>
          </w:p>
        </w:tc>
      </w:tr>
      <w:tr>
        <w:trPr>
          <w:trHeight w:val="180"/>
        </w:trPr>
        <w:tc>
          <w:tcPr>
            <w:tcW w:w="1620" w:type="dxa"/>
            <w:vAlign w:val="bottom"/>
          </w:tcPr>
          <w:p>
            <w:pPr>
              <w:spacing w:after="0"/>
              <w:rPr>
                <w:sz w:val="15"/>
                <w:szCs w:val="15"/>
                <w:color w:val="auto"/>
              </w:rPr>
            </w:pPr>
          </w:p>
        </w:tc>
        <w:tc>
          <w:tcPr>
            <w:tcW w:w="816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(vii) Southwest Gas Corporation and Subsidiaries Condensed Consolidated Statements of Income, (viii)</w:t>
            </w:r>
          </w:p>
        </w:tc>
      </w:tr>
      <w:tr>
        <w:trPr>
          <w:trHeight w:val="175"/>
        </w:trPr>
        <w:tc>
          <w:tcPr>
            <w:tcW w:w="1620" w:type="dxa"/>
            <w:vAlign w:val="bottom"/>
          </w:tcPr>
          <w:p>
            <w:pPr>
              <w:spacing w:after="0"/>
              <w:rPr>
                <w:sz w:val="15"/>
                <w:szCs w:val="15"/>
                <w:color w:val="auto"/>
              </w:rPr>
            </w:pPr>
          </w:p>
        </w:tc>
        <w:tc>
          <w:tcPr>
            <w:tcW w:w="81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Southwest Gas Corporation and Subsidiaries Condensed Consolidated Statements of Comprehensive Income,</w:t>
            </w:r>
          </w:p>
        </w:tc>
      </w:tr>
      <w:tr>
        <w:trPr>
          <w:trHeight w:val="184"/>
        </w:trPr>
        <w:tc>
          <w:tcPr>
            <w:tcW w:w="1620" w:type="dxa"/>
            <w:vAlign w:val="bottom"/>
          </w:tcPr>
          <w:p>
            <w:pPr>
              <w:spacing w:after="0"/>
              <w:rPr>
                <w:sz w:val="16"/>
                <w:szCs w:val="16"/>
                <w:color w:val="auto"/>
              </w:rPr>
            </w:pPr>
          </w:p>
        </w:tc>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(ix) Southwest Gas Corporation and Subsidiaries Condensed Consolidated Statements of Cash Flows, (x)</w:t>
            </w:r>
          </w:p>
        </w:tc>
      </w:tr>
      <w:tr>
        <w:trPr>
          <w:trHeight w:val="180"/>
        </w:trPr>
        <w:tc>
          <w:tcPr>
            <w:tcW w:w="1620" w:type="dxa"/>
            <w:vAlign w:val="bottom"/>
          </w:tcPr>
          <w:p>
            <w:pPr>
              <w:spacing w:after="0"/>
              <w:rPr>
                <w:sz w:val="15"/>
                <w:szCs w:val="15"/>
                <w:color w:val="auto"/>
              </w:rPr>
            </w:pPr>
          </w:p>
        </w:tc>
        <w:tc>
          <w:tcPr>
            <w:tcW w:w="816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Southwest Gas Corporation and Subsidiaries Condensed Consolidated Statements of Equity. The instance</w:t>
            </w:r>
          </w:p>
        </w:tc>
      </w:tr>
      <w:tr>
        <w:trPr>
          <w:trHeight w:val="175"/>
        </w:trPr>
        <w:tc>
          <w:tcPr>
            <w:tcW w:w="1620" w:type="dxa"/>
            <w:vAlign w:val="bottom"/>
          </w:tcPr>
          <w:p>
            <w:pPr>
              <w:spacing w:after="0"/>
              <w:rPr>
                <w:sz w:val="15"/>
                <w:szCs w:val="15"/>
                <w:color w:val="auto"/>
              </w:rPr>
            </w:pPr>
          </w:p>
        </w:tc>
        <w:tc>
          <w:tcPr>
            <w:tcW w:w="81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document does not appear in the Interactive Data File because its XBRL tags are embedded within the Inline</w:t>
            </w:r>
          </w:p>
        </w:tc>
      </w:tr>
      <w:tr>
        <w:trPr>
          <w:trHeight w:val="234"/>
        </w:trPr>
        <w:tc>
          <w:tcPr>
            <w:tcW w:w="1620" w:type="dxa"/>
            <w:vAlign w:val="bottom"/>
          </w:tcPr>
          <w:p>
            <w:pPr>
              <w:spacing w:after="0"/>
              <w:rPr>
                <w:sz w:val="20"/>
                <w:szCs w:val="20"/>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30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23"/>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0"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00" w:lineRule="exact"/>
        <w:rPr>
          <w:sz w:val="20"/>
          <w:szCs w:val="20"/>
          <w:color w:val="auto"/>
        </w:rPr>
      </w:pPr>
    </w:p>
    <w:p>
      <w:pPr>
        <w:spacing w:after="0" w:line="2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FABIO A. PINEDA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Fabio A. Pineda</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0"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00" w:lineRule="exact"/>
        <w:rPr>
          <w:sz w:val="20"/>
          <w:szCs w:val="20"/>
          <w:color w:val="auto"/>
        </w:rPr>
      </w:pPr>
    </w:p>
    <w:p>
      <w:pPr>
        <w:spacing w:after="0" w:line="22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FABIO A. PINEDA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Fabio A. Pineda</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27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L. Brown,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L. Brown</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S. Forsberg,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S. Forsberg</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and Treasurer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L. Brown,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00" w:lineRule="exact"/>
        <w:rPr>
          <w:sz w:val="20"/>
          <w:szCs w:val="20"/>
          <w:color w:val="auto"/>
        </w:rPr>
      </w:pPr>
    </w:p>
    <w:p>
      <w:pPr>
        <w:spacing w:after="0" w:line="21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L. Brown</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S. Forsberg,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S. Forsberg</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and Treasurer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September 30, 2026 as filed with the Securities and Exchange Commission (the “Report”), I, Justin L. Brown,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L. Brown</w:t>
      </w:r>
    </w:p>
    <w:p>
      <w:pPr>
        <w:ind w:left="6780"/>
        <w:spacing w:after="0" w:line="205"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September 30, 2026 as filed with the Securities and Exchange Commission (the “Report”), I, Justin S. Forsberg, Senior Vice President/Chief Financial Officer and Treasurer of the Company, hereby certify as of the date hereof, solely for purposes of Title 18, Chapter 63, Section 1350 of the United States Code, that to the best of my knowledge:</w:t>
      </w:r>
    </w:p>
    <w:p>
      <w:pPr>
        <w:spacing w:after="0" w:line="99" w:lineRule="exact"/>
        <w:rPr>
          <w:sz w:val="20"/>
          <w:szCs w:val="20"/>
          <w:color w:val="auto"/>
        </w:rPr>
      </w:pPr>
    </w:p>
    <w:p>
      <w:pPr>
        <w:ind w:left="560" w:hanging="309"/>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S. Forsberg</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and Treasurer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September 30, 2026 as filed with the Securities and Exchange Commission (the “Report”), I, Justin L. Brown, the President and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L. Brown</w:t>
      </w:r>
    </w:p>
    <w:p>
      <w:pPr>
        <w:ind w:left="6780"/>
        <w:spacing w:after="0" w:line="205"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September 30, 2026 as filed with the Securities and Exchange Commission (the “Report”), I, Justin S. Forsberg, Senior Vice President/Chief Financial Officer and Treasurer of Southwest Gas Corporation, hereby certify as of the date hereof, solely for purposes of Title 18, Chapter 63, Section 1350 of the United States Code, that to the best of my knowledge:</w:t>
      </w:r>
    </w:p>
    <w:p>
      <w:pPr>
        <w:spacing w:after="0" w:line="99" w:lineRule="exact"/>
        <w:rPr>
          <w:sz w:val="20"/>
          <w:szCs w:val="20"/>
          <w:color w:val="auto"/>
        </w:rPr>
      </w:pPr>
    </w:p>
    <w:p>
      <w:pPr>
        <w:ind w:left="560" w:hanging="309"/>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37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S. Forsberg</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and Treasurer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emdash "/>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lvl w:ilvl="1">
      <w:lvlJc w:val="left"/>
      <w:lvlText w:val="%2."/>
      <w:numFmt w:val="lowerLetter"/>
      <w:start w:val="1"/>
    </w:lvl>
  </w:abstractNum>
  <w:abstractNum w:abstractNumId="24">
    <w:nsid w:val="2CA88611"/>
    <w:multiLevelType w:val="hybridMultilevel"/>
    <w:lvl w:ilvl="0">
      <w:lvlJc w:val="left"/>
      <w:lvlText w:val="%1."/>
      <w:numFmt w:val="decimal"/>
      <w:start w:val="1"/>
    </w:lvl>
    <w:lvl w:ilvl="1">
      <w:lvlJc w:val="left"/>
      <w:lvlText w:val="%2."/>
      <w:numFmt w:val="lowerLetter"/>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2026-11-04T07:37:44Z</dcterms:created>
  <dcterms:modified xsi:type="dcterms:W3CDTF">2026-11-04T07:37:44Z</dcterms:modified>
</cp:coreProperties>
</file>